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EC18DE" w14:textId="3CBC93A2" w:rsidR="006632A4" w:rsidRDefault="006632A4" w:rsidP="006632A4">
      <w:pPr>
        <w:pStyle w:val="CH"/>
      </w:pPr>
      <w:r w:rsidRPr="00B070F5">
        <w:t>3GPP RAN WG</w:t>
      </w:r>
      <w:r>
        <w:t>4</w:t>
      </w:r>
      <w:r w:rsidRPr="00B070F5">
        <w:t xml:space="preserve"> Meeting #</w:t>
      </w:r>
      <w:r>
        <w:t>92</w:t>
      </w:r>
      <w:r w:rsidRPr="00B070F5">
        <w:t>bis</w:t>
      </w:r>
      <w:r>
        <w:tab/>
      </w:r>
      <w:r>
        <w:tab/>
      </w:r>
      <w:r w:rsidR="00772ABD" w:rsidRPr="00772ABD">
        <w:t>R4-1911502</w:t>
      </w:r>
    </w:p>
    <w:p w14:paraId="4982D73D" w14:textId="77777777" w:rsidR="006632A4" w:rsidRPr="00FD166F" w:rsidRDefault="006632A4" w:rsidP="006632A4">
      <w:pPr>
        <w:pStyle w:val="CH"/>
        <w:tabs>
          <w:tab w:val="clear" w:pos="7920"/>
        </w:tabs>
        <w:rPr>
          <w:b w:val="0"/>
        </w:rPr>
      </w:pPr>
      <w:r w:rsidRPr="00B070F5">
        <w:t xml:space="preserve">Chongqing, China, 14 – </w:t>
      </w:r>
      <w:r>
        <w:t>18</w:t>
      </w:r>
      <w:r w:rsidRPr="00B070F5">
        <w:t>th October 201</w:t>
      </w:r>
      <w:r>
        <w:t>9</w:t>
      </w:r>
    </w:p>
    <w:p w14:paraId="3B8809CA" w14:textId="77777777" w:rsidR="006632A4" w:rsidRDefault="006632A4" w:rsidP="006632A4">
      <w:pPr>
        <w:tabs>
          <w:tab w:val="left" w:pos="2160"/>
        </w:tabs>
        <w:rPr>
          <w:rFonts w:ascii="Arial" w:hAnsi="Arial" w:cs="Arial"/>
          <w:b/>
        </w:rPr>
      </w:pPr>
    </w:p>
    <w:p w14:paraId="6CEC60EC" w14:textId="1F478414" w:rsidR="006632A4" w:rsidRPr="0008103A" w:rsidRDefault="006632A4" w:rsidP="006632A4">
      <w:pPr>
        <w:pStyle w:val="CH"/>
        <w:rPr>
          <w:b w:val="0"/>
        </w:rPr>
      </w:pPr>
      <w:r w:rsidRPr="0008103A">
        <w:t>Agenda item:</w:t>
      </w:r>
      <w:r>
        <w:tab/>
      </w:r>
      <w:r w:rsidR="001D6473" w:rsidRPr="001D6473">
        <w:t>10.5.1</w:t>
      </w:r>
    </w:p>
    <w:p w14:paraId="434F3612" w14:textId="77777777" w:rsidR="006632A4" w:rsidRPr="0008103A" w:rsidRDefault="006632A4" w:rsidP="006632A4">
      <w:pPr>
        <w:pStyle w:val="CH"/>
        <w:rPr>
          <w:b w:val="0"/>
        </w:rPr>
      </w:pPr>
      <w:r>
        <w:t>Source:</w:t>
      </w:r>
      <w:r>
        <w:tab/>
        <w:t>Apple Inc.</w:t>
      </w:r>
    </w:p>
    <w:p w14:paraId="50DA1F96" w14:textId="784BFFAB" w:rsidR="006632A4" w:rsidRDefault="006632A4" w:rsidP="006632A4">
      <w:pPr>
        <w:pStyle w:val="CH"/>
        <w:ind w:left="2250" w:hanging="2250"/>
      </w:pPr>
      <w:r w:rsidRPr="0008103A">
        <w:t>Title:</w:t>
      </w:r>
      <w:r w:rsidRPr="0008103A">
        <w:tab/>
      </w:r>
      <w:r w:rsidRPr="00C315E4">
        <w:t xml:space="preserve">Views on the </w:t>
      </w:r>
      <w:r w:rsidR="00061A4E">
        <w:t>high DL power and low UL power objective</w:t>
      </w:r>
    </w:p>
    <w:p w14:paraId="5AFAAF88" w14:textId="29504E3F" w:rsidR="006632A4" w:rsidRDefault="006632A4" w:rsidP="006632A4">
      <w:pPr>
        <w:pStyle w:val="CH"/>
      </w:pPr>
      <w:r>
        <w:t>WI/SI:</w:t>
      </w:r>
      <w:r>
        <w:tab/>
      </w:r>
      <w:r w:rsidRPr="006632A4">
        <w:t>FS_FR2_enhTestMethods</w:t>
      </w:r>
    </w:p>
    <w:p w14:paraId="5E2CDFC7" w14:textId="77777777" w:rsidR="006632A4" w:rsidRDefault="006632A4" w:rsidP="006632A4">
      <w:pPr>
        <w:pStyle w:val="CH"/>
        <w:rPr>
          <w:b w:val="0"/>
        </w:rPr>
      </w:pPr>
      <w:r>
        <w:t>Release:</w:t>
      </w:r>
      <w:r>
        <w:tab/>
      </w:r>
      <w:r w:rsidRPr="00752075">
        <w:t>Rel-1</w:t>
      </w:r>
      <w:r>
        <w:t>6</w:t>
      </w:r>
    </w:p>
    <w:p w14:paraId="7A91BA4B" w14:textId="77777777" w:rsidR="006632A4" w:rsidRDefault="006632A4" w:rsidP="006632A4">
      <w:pPr>
        <w:pStyle w:val="CH"/>
      </w:pPr>
      <w:r>
        <w:t>Document for:</w:t>
      </w:r>
      <w:r>
        <w:tab/>
        <w:t>Discussion</w:t>
      </w:r>
    </w:p>
    <w:p w14:paraId="2634CF92" w14:textId="6683A85C" w:rsidR="004B515E" w:rsidRPr="00871EA3" w:rsidRDefault="006B6A1A" w:rsidP="00E064A5">
      <w:pPr>
        <w:pStyle w:val="Heading1"/>
        <w:rPr>
          <w:lang w:val="en-US"/>
        </w:rPr>
      </w:pPr>
      <w:r w:rsidRPr="00871EA3">
        <w:rPr>
          <w:lang w:val="en-US"/>
        </w:rPr>
        <w:t>Introduction</w:t>
      </w:r>
    </w:p>
    <w:p w14:paraId="622E9088" w14:textId="717D40B2" w:rsidR="00061A4E" w:rsidRDefault="00061A4E" w:rsidP="00061A4E">
      <w:r>
        <w:t xml:space="preserve">The FR2 UE RF specification TS38.101-2 </w:t>
      </w:r>
      <w:r>
        <w:fldChar w:fldCharType="begin"/>
      </w:r>
      <w:r>
        <w:instrText xml:space="preserve"> REF _Ref525858808 \r \h </w:instrText>
      </w:r>
      <w:r>
        <w:fldChar w:fldCharType="separate"/>
      </w:r>
      <w:r>
        <w:t>[1]</w:t>
      </w:r>
      <w:r>
        <w:fldChar w:fldCharType="end"/>
      </w:r>
      <w:r>
        <w:t xml:space="preserve"> relies on the technical report on NR test methodology TR38.810 </w:t>
      </w:r>
      <w:r>
        <w:fldChar w:fldCharType="begin"/>
      </w:r>
      <w:r>
        <w:instrText xml:space="preserve"> REF _Ref4665285 \r \h </w:instrText>
      </w:r>
      <w:r>
        <w:fldChar w:fldCharType="separate"/>
      </w:r>
      <w:r>
        <w:t>[2]</w:t>
      </w:r>
      <w:r>
        <w:fldChar w:fldCharType="end"/>
      </w:r>
      <w:r>
        <w:t xml:space="preserve"> to define the allowed test methods, measurement procedures, and initial assessments of measurement uncertainty.  The inclusion of large relaxations to the high DL power and low UL power test cases has been identified as the cause of a number of challenges related to correct characterization of UE performance [3-12]: especially for regulatory facing test cases.  The new study on FR2 RF test method enhancement addresses this gap with the following objective </w:t>
      </w:r>
      <w:r>
        <w:fldChar w:fldCharType="begin"/>
      </w:r>
      <w:r>
        <w:instrText xml:space="preserve"> REF _Ref20726701 \r \h </w:instrText>
      </w:r>
      <w:r>
        <w:fldChar w:fldCharType="separate"/>
      </w:r>
      <w:r>
        <w:t>[20]</w:t>
      </w:r>
      <w:r>
        <w:fldChar w:fldCharType="end"/>
      </w:r>
      <w:r>
        <w:t>:</w:t>
      </w:r>
    </w:p>
    <w:p w14:paraId="2F6B8B06" w14:textId="77777777" w:rsidR="00061A4E" w:rsidRDefault="00061A4E" w:rsidP="00061A4E"/>
    <w:p w14:paraId="4BC121F2" w14:textId="77777777" w:rsidR="00061A4E" w:rsidRDefault="00061A4E" w:rsidP="00061A4E">
      <w:r>
        <w:rPr>
          <w:noProof/>
        </w:rPr>
        <mc:AlternateContent>
          <mc:Choice Requires="wps">
            <w:drawing>
              <wp:inline distT="0" distB="0" distL="0" distR="0" wp14:anchorId="77A4D005" wp14:editId="08CD599D">
                <wp:extent cx="6120765" cy="5231602"/>
                <wp:effectExtent l="0" t="0" r="6985" b="6985"/>
                <wp:docPr id="2" name="Text Box 2"/>
                <wp:cNvGraphicFramePr/>
                <a:graphic xmlns:a="http://schemas.openxmlformats.org/drawingml/2006/main">
                  <a:graphicData uri="http://schemas.microsoft.com/office/word/2010/wordprocessingShape">
                    <wps:wsp>
                      <wps:cNvSpPr txBox="1"/>
                      <wps:spPr>
                        <a:xfrm>
                          <a:off x="0" y="0"/>
                          <a:ext cx="6120765" cy="5231602"/>
                        </a:xfrm>
                        <a:prstGeom prst="rect">
                          <a:avLst/>
                        </a:prstGeom>
                        <a:noFill/>
                        <a:ln w="6350">
                          <a:solidFill>
                            <a:prstClr val="black"/>
                          </a:solidFill>
                        </a:ln>
                      </wps:spPr>
                      <wps:txbx>
                        <w:txbxContent>
                          <w:p w14:paraId="5765A5BB" w14:textId="77777777" w:rsidR="00061A4E" w:rsidRPr="009342E8" w:rsidRDefault="00061A4E" w:rsidP="00061A4E">
                            <w:pPr>
                              <w:pStyle w:val="List"/>
                              <w:rPr>
                                <w:sz w:val="16"/>
                                <w:szCs w:val="16"/>
                              </w:rPr>
                            </w:pPr>
                            <w:r w:rsidRPr="009342E8">
                              <w:rPr>
                                <w:sz w:val="16"/>
                                <w:szCs w:val="16"/>
                              </w:rPr>
                              <w:t>1.</w:t>
                            </w:r>
                            <w:r w:rsidRPr="009342E8">
                              <w:rPr>
                                <w:sz w:val="16"/>
                                <w:szCs w:val="16"/>
                              </w:rPr>
                              <w:tab/>
                              <w:t>Define test methodology for high DL power and low UL power test cases</w:t>
                            </w:r>
                          </w:p>
                          <w:p w14:paraId="7193E500" w14:textId="77777777" w:rsidR="00061A4E" w:rsidRPr="009342E8" w:rsidRDefault="00061A4E" w:rsidP="00061A4E">
                            <w:pPr>
                              <w:pStyle w:val="List2"/>
                              <w:rPr>
                                <w:sz w:val="16"/>
                                <w:szCs w:val="16"/>
                              </w:rPr>
                            </w:pPr>
                            <w:r w:rsidRPr="009342E8">
                              <w:rPr>
                                <w:sz w:val="16"/>
                                <w:szCs w:val="16"/>
                              </w:rPr>
                              <w:t>-</w:t>
                            </w:r>
                            <w:r w:rsidRPr="009342E8">
                              <w:rPr>
                                <w:sz w:val="16"/>
                                <w:szCs w:val="16"/>
                              </w:rPr>
                              <w:tab/>
                              <w:t>Considering path loss reduction, measurement antenna gain improvement, DUT positioning improvement, and MU improvement</w:t>
                            </w:r>
                          </w:p>
                          <w:p w14:paraId="51C52AAF" w14:textId="77777777" w:rsidR="00061A4E" w:rsidRPr="009342E8" w:rsidRDefault="00061A4E" w:rsidP="00061A4E">
                            <w:pPr>
                              <w:pStyle w:val="List2"/>
                              <w:rPr>
                                <w:sz w:val="16"/>
                                <w:szCs w:val="16"/>
                              </w:rPr>
                            </w:pPr>
                            <w:r w:rsidRPr="009342E8">
                              <w:rPr>
                                <w:sz w:val="16"/>
                                <w:szCs w:val="16"/>
                              </w:rPr>
                              <w:t>-</w:t>
                            </w:r>
                            <w:r w:rsidRPr="009342E8">
                              <w:rPr>
                                <w:sz w:val="16"/>
                                <w:szCs w:val="16"/>
                              </w:rPr>
                              <w:tab/>
                              <w:t>Considering NFTF (defined in Clause 5.2 of TR38.810) and direct near field test methodologies as possible alternative methods</w:t>
                            </w:r>
                          </w:p>
                          <w:p w14:paraId="140354D1" w14:textId="77777777" w:rsidR="00061A4E" w:rsidRPr="009342E8" w:rsidRDefault="00061A4E" w:rsidP="00061A4E">
                            <w:pPr>
                              <w:pStyle w:val="List2"/>
                              <w:rPr>
                                <w:sz w:val="16"/>
                                <w:szCs w:val="16"/>
                              </w:rPr>
                            </w:pPr>
                            <w:r w:rsidRPr="009342E8">
                              <w:rPr>
                                <w:sz w:val="16"/>
                                <w:szCs w:val="16"/>
                              </w:rPr>
                              <w:t>-</w:t>
                            </w:r>
                            <w:r w:rsidRPr="009342E8">
                              <w:rPr>
                                <w:sz w:val="16"/>
                                <w:szCs w:val="16"/>
                              </w:rPr>
                              <w:tab/>
                              <w:t>Other approaches are not precluded</w:t>
                            </w:r>
                          </w:p>
                          <w:p w14:paraId="4416989C" w14:textId="5C648FF9" w:rsidR="00061A4E" w:rsidRPr="009342E8" w:rsidRDefault="00061A4E" w:rsidP="00061A4E">
                            <w:pPr>
                              <w:pStyle w:val="List2"/>
                              <w:rPr>
                                <w:sz w:val="16"/>
                                <w:szCs w:val="16"/>
                              </w:rPr>
                            </w:pPr>
                            <w:r w:rsidRPr="009342E8">
                              <w:rPr>
                                <w:rFonts w:hint="eastAsia"/>
                                <w:sz w:val="16"/>
                                <w:szCs w:val="16"/>
                                <w:lang w:eastAsia="zh-CN"/>
                              </w:rPr>
                              <w:t>-</w:t>
                            </w:r>
                            <w:r w:rsidRPr="009342E8">
                              <w:rPr>
                                <w:sz w:val="16"/>
                                <w:szCs w:val="16"/>
                              </w:rPr>
                              <w:tab/>
                              <w:t>Study preliminary assessment of measurement uncertainty of new alternative methods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7A4D005" id="_x0000_t202" coordsize="21600,21600" o:spt="202" path="m,l,21600r21600,l21600,xe">
                <v:stroke joinstyle="miter"/>
                <v:path gradientshapeok="t" o:connecttype="rect"/>
              </v:shapetype>
              <v:shape id="Text Box 2" o:spid="_x0000_s1026" type="#_x0000_t202" style="width:481.95pt;height:411.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" filled="f" strokeweight=".5pt">
                <v:textbox style="mso-fit-shape-to-text:t">
                  <w:txbxContent>
                    <w:p w14:paraId="5765A5BB" w14:textId="77777777" w:rsidR="00061A4E" w:rsidRPr="009342E8" w:rsidRDefault="00061A4E" w:rsidP="00061A4E">
                      <w:pPr>
                        <w:pStyle w:val="List"/>
                        <w:rPr>
                          <w:sz w:val="16"/>
                          <w:szCs w:val="16"/>
                        </w:rPr>
                      </w:pPr>
                      <w:r w:rsidRPr="009342E8">
                        <w:rPr>
                          <w:sz w:val="16"/>
                          <w:szCs w:val="16"/>
                        </w:rPr>
                        <w:t>1.</w:t>
                      </w:r>
                      <w:r w:rsidRPr="009342E8">
                        <w:rPr>
                          <w:sz w:val="16"/>
                          <w:szCs w:val="16"/>
                        </w:rPr>
                        <w:tab/>
                        <w:t>Define test methodology for high DL power and low UL power test cases</w:t>
                      </w:r>
                    </w:p>
                    <w:p w14:paraId="7193E500" w14:textId="77777777" w:rsidR="00061A4E" w:rsidRPr="009342E8" w:rsidRDefault="00061A4E" w:rsidP="00061A4E">
                      <w:pPr>
                        <w:pStyle w:val="List2"/>
                        <w:rPr>
                          <w:sz w:val="16"/>
                          <w:szCs w:val="16"/>
                        </w:rPr>
                      </w:pPr>
                      <w:r w:rsidRPr="009342E8">
                        <w:rPr>
                          <w:sz w:val="16"/>
                          <w:szCs w:val="16"/>
                        </w:rPr>
                        <w:t>-</w:t>
                      </w:r>
                      <w:r w:rsidRPr="009342E8">
                        <w:rPr>
                          <w:sz w:val="16"/>
                          <w:szCs w:val="16"/>
                        </w:rPr>
                        <w:tab/>
                        <w:t>Considering path loss reduction, measurement antenna gain improvement, DUT positioning improvement, and MU improvement</w:t>
                      </w:r>
                    </w:p>
                    <w:p w14:paraId="51C52AAF" w14:textId="77777777" w:rsidR="00061A4E" w:rsidRPr="009342E8" w:rsidRDefault="00061A4E" w:rsidP="00061A4E">
                      <w:pPr>
                        <w:pStyle w:val="List2"/>
                        <w:rPr>
                          <w:sz w:val="16"/>
                          <w:szCs w:val="16"/>
                        </w:rPr>
                      </w:pPr>
                      <w:r w:rsidRPr="009342E8">
                        <w:rPr>
                          <w:sz w:val="16"/>
                          <w:szCs w:val="16"/>
                        </w:rPr>
                        <w:t>-</w:t>
                      </w:r>
                      <w:r w:rsidRPr="009342E8">
                        <w:rPr>
                          <w:sz w:val="16"/>
                          <w:szCs w:val="16"/>
                        </w:rPr>
                        <w:tab/>
                        <w:t>Considering NFTF (defined in Clause 5.2 of TR38.810) and direct near field test methodologies as possible alternative methods</w:t>
                      </w:r>
                    </w:p>
                    <w:p w14:paraId="140354D1" w14:textId="77777777" w:rsidR="00061A4E" w:rsidRPr="009342E8" w:rsidRDefault="00061A4E" w:rsidP="00061A4E">
                      <w:pPr>
                        <w:pStyle w:val="List2"/>
                        <w:rPr>
                          <w:sz w:val="16"/>
                          <w:szCs w:val="16"/>
                        </w:rPr>
                      </w:pPr>
                      <w:r w:rsidRPr="009342E8">
                        <w:rPr>
                          <w:sz w:val="16"/>
                          <w:szCs w:val="16"/>
                        </w:rPr>
                        <w:t>-</w:t>
                      </w:r>
                      <w:r w:rsidRPr="009342E8">
                        <w:rPr>
                          <w:sz w:val="16"/>
                          <w:szCs w:val="16"/>
                        </w:rPr>
                        <w:tab/>
                        <w:t>Other approaches are not precluded</w:t>
                      </w:r>
                    </w:p>
                    <w:p w14:paraId="4416989C" w14:textId="5C648FF9" w:rsidR="00061A4E" w:rsidRPr="009342E8" w:rsidRDefault="00061A4E" w:rsidP="00061A4E">
                      <w:pPr>
                        <w:pStyle w:val="List2"/>
                        <w:rPr>
                          <w:sz w:val="16"/>
                          <w:szCs w:val="16"/>
                        </w:rPr>
                      </w:pPr>
                      <w:r w:rsidRPr="009342E8">
                        <w:rPr>
                          <w:rFonts w:hint="eastAsia"/>
                          <w:sz w:val="16"/>
                          <w:szCs w:val="16"/>
                          <w:lang w:eastAsia="zh-CN"/>
                        </w:rPr>
                        <w:t>-</w:t>
                      </w:r>
                      <w:r w:rsidRPr="009342E8">
                        <w:rPr>
                          <w:sz w:val="16"/>
                          <w:szCs w:val="16"/>
                        </w:rPr>
                        <w:tab/>
                        <w:t>Study preliminary assessment of measurement uncertainty of new alternative methods</w:t>
                      </w:r>
                    </w:p>
                  </w:txbxContent>
                </v:textbox>
                <w10:anchorlock/>
              </v:shape>
            </w:pict>
          </mc:Fallback>
        </mc:AlternateContent>
      </w:r>
    </w:p>
    <w:p w14:paraId="4B4026AB" w14:textId="77777777" w:rsidR="00061A4E" w:rsidRDefault="00061A4E" w:rsidP="00061A4E"/>
    <w:p w14:paraId="77183B38" w14:textId="7689A788" w:rsidR="00061A4E" w:rsidRDefault="00061A4E" w:rsidP="00061A4E">
      <w:r>
        <w:t>This paper provides our views on the high DL power / low UL power objective.</w:t>
      </w:r>
    </w:p>
    <w:p w14:paraId="442DEB4F" w14:textId="1B8CD112" w:rsidR="006B6A1A" w:rsidRDefault="006B6A1A" w:rsidP="006B6A1A">
      <w:pPr>
        <w:pStyle w:val="Heading1"/>
        <w:rPr>
          <w:lang w:val="en-US"/>
        </w:rPr>
      </w:pPr>
      <w:r w:rsidRPr="00871EA3">
        <w:rPr>
          <w:lang w:val="en-US"/>
        </w:rPr>
        <w:t>Discussion</w:t>
      </w:r>
    </w:p>
    <w:p w14:paraId="1A201094" w14:textId="791B81C4" w:rsidR="006632A4" w:rsidRDefault="006632A4" w:rsidP="006632A4">
      <w:r>
        <w:t xml:space="preserve">Following a review by RAN5 of test cases which require high DL signal power and low UL signal power, it can be observed that </w:t>
      </w:r>
      <w:r w:rsidRPr="004959EB">
        <w:t>some test cases require up to 34</w:t>
      </w:r>
      <w:r>
        <w:t xml:space="preserve"> </w:t>
      </w:r>
      <w:r w:rsidRPr="004959EB">
        <w:t>dB and 3</w:t>
      </w:r>
      <w:r>
        <w:t xml:space="preserve">0.4 </w:t>
      </w:r>
      <w:r w:rsidRPr="004959EB">
        <w:t>dB relaxation for DL and UL</w:t>
      </w:r>
      <w:r>
        <w:t>,</w:t>
      </w:r>
      <w:r w:rsidRPr="004959EB">
        <w:t xml:space="preserve"> respectively</w:t>
      </w:r>
      <w:r>
        <w:t xml:space="preserve"> </w:t>
      </w:r>
      <w:r>
        <w:fldChar w:fldCharType="begin"/>
      </w:r>
      <w:r>
        <w:instrText xml:space="preserve"> REF _Ref9500078 \r \h </w:instrText>
      </w:r>
      <w:r>
        <w:fldChar w:fldCharType="separate"/>
      </w:r>
      <w:r w:rsidR="00061A4E">
        <w:t>[15]</w:t>
      </w:r>
      <w:r>
        <w:fldChar w:fldCharType="end"/>
      </w:r>
      <w:r>
        <w:t>.  The table below itemizes these relaxations.</w:t>
      </w:r>
    </w:p>
    <w:p w14:paraId="5B28C924" w14:textId="77777777" w:rsidR="006632A4" w:rsidRDefault="006632A4" w:rsidP="006632A4"/>
    <w:tbl>
      <w:tblPr>
        <w:tblW w:w="4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337"/>
        <w:gridCol w:w="1180"/>
        <w:gridCol w:w="3693"/>
        <w:gridCol w:w="1178"/>
      </w:tblGrid>
      <w:tr w:rsidR="006632A4" w14:paraId="7EE03F92" w14:textId="77777777" w:rsidTr="00E65461">
        <w:tc>
          <w:tcPr>
            <w:tcW w:w="873" w:type="pct"/>
            <w:tcBorders>
              <w:top w:val="single" w:sz="4" w:space="0" w:color="auto"/>
              <w:left w:val="single" w:sz="4" w:space="0" w:color="auto"/>
              <w:bottom w:val="single" w:sz="4" w:space="0" w:color="auto"/>
              <w:right w:val="single" w:sz="4" w:space="0" w:color="auto"/>
            </w:tcBorders>
            <w:hideMark/>
          </w:tcPr>
          <w:p w14:paraId="46B95FF1" w14:textId="77777777" w:rsidR="006632A4" w:rsidRPr="004959EB" w:rsidRDefault="006632A4" w:rsidP="00E65461">
            <w:pPr>
              <w:pStyle w:val="Header"/>
              <w:tabs>
                <w:tab w:val="left" w:pos="720"/>
              </w:tabs>
              <w:rPr>
                <w:rFonts w:eastAsia="Yu Mincho" w:cs="Arial"/>
                <w:szCs w:val="18"/>
                <w:lang w:val="de-DE" w:eastAsia="ja-JP"/>
              </w:rPr>
            </w:pPr>
            <w:r w:rsidRPr="004959EB">
              <w:rPr>
                <w:rFonts w:eastAsia="Yu Mincho" w:cs="Arial"/>
                <w:szCs w:val="18"/>
                <w:lang w:val="de-DE" w:eastAsia="ja-JP"/>
              </w:rPr>
              <w:t>Test Case</w:t>
            </w:r>
          </w:p>
        </w:tc>
        <w:tc>
          <w:tcPr>
            <w:tcW w:w="747" w:type="pct"/>
            <w:tcBorders>
              <w:top w:val="single" w:sz="4" w:space="0" w:color="auto"/>
              <w:left w:val="single" w:sz="4" w:space="0" w:color="auto"/>
              <w:bottom w:val="single" w:sz="4" w:space="0" w:color="auto"/>
              <w:right w:val="single" w:sz="4" w:space="0" w:color="auto"/>
            </w:tcBorders>
            <w:hideMark/>
          </w:tcPr>
          <w:p w14:paraId="50A26FAD" w14:textId="77777777" w:rsidR="006632A4" w:rsidRPr="004959EB" w:rsidRDefault="006632A4" w:rsidP="00E65461">
            <w:pPr>
              <w:pStyle w:val="Header"/>
              <w:tabs>
                <w:tab w:val="left" w:pos="720"/>
              </w:tabs>
              <w:rPr>
                <w:rFonts w:eastAsia="Yu Mincho" w:cs="Arial"/>
                <w:szCs w:val="18"/>
                <w:lang w:val="de-DE" w:eastAsia="ja-JP"/>
              </w:rPr>
            </w:pPr>
            <w:r w:rsidRPr="004959EB">
              <w:rPr>
                <w:rFonts w:eastAsia="Yu Mincho" w:cs="Arial"/>
                <w:szCs w:val="18"/>
                <w:lang w:val="de-DE" w:eastAsia="ja-JP"/>
              </w:rPr>
              <w:t>Test Specification</w:t>
            </w:r>
          </w:p>
        </w:tc>
        <w:tc>
          <w:tcPr>
            <w:tcW w:w="659" w:type="pct"/>
            <w:tcBorders>
              <w:top w:val="single" w:sz="4" w:space="0" w:color="auto"/>
              <w:left w:val="single" w:sz="4" w:space="0" w:color="auto"/>
              <w:bottom w:val="single" w:sz="4" w:space="0" w:color="auto"/>
              <w:right w:val="single" w:sz="4" w:space="0" w:color="auto"/>
            </w:tcBorders>
            <w:hideMark/>
          </w:tcPr>
          <w:p w14:paraId="02A3127F" w14:textId="77777777" w:rsidR="006632A4" w:rsidRPr="004959EB" w:rsidRDefault="006632A4" w:rsidP="00E65461">
            <w:pPr>
              <w:pStyle w:val="Header"/>
              <w:tabs>
                <w:tab w:val="left" w:pos="720"/>
              </w:tabs>
              <w:rPr>
                <w:rFonts w:eastAsia="Yu Mincho" w:cs="Arial"/>
                <w:szCs w:val="18"/>
                <w:lang w:val="de-DE" w:eastAsia="ja-JP"/>
              </w:rPr>
            </w:pPr>
            <w:r w:rsidRPr="004959EB">
              <w:rPr>
                <w:rFonts w:eastAsia="Yu Mincho" w:cs="Arial"/>
                <w:szCs w:val="18"/>
                <w:lang w:val="de-DE" w:eastAsia="ja-JP"/>
              </w:rPr>
              <w:t>Testability Issue</w:t>
            </w:r>
          </w:p>
        </w:tc>
        <w:tc>
          <w:tcPr>
            <w:tcW w:w="2063" w:type="pct"/>
            <w:tcBorders>
              <w:top w:val="single" w:sz="4" w:space="0" w:color="auto"/>
              <w:left w:val="single" w:sz="4" w:space="0" w:color="auto"/>
              <w:bottom w:val="single" w:sz="4" w:space="0" w:color="auto"/>
              <w:right w:val="single" w:sz="4" w:space="0" w:color="auto"/>
            </w:tcBorders>
            <w:hideMark/>
          </w:tcPr>
          <w:p w14:paraId="45095306" w14:textId="77777777" w:rsidR="006632A4" w:rsidRPr="004959EB" w:rsidRDefault="006632A4" w:rsidP="00E65461">
            <w:pPr>
              <w:pStyle w:val="Header"/>
              <w:tabs>
                <w:tab w:val="left" w:pos="720"/>
              </w:tabs>
              <w:rPr>
                <w:rFonts w:eastAsia="Yu Mincho" w:cs="Arial"/>
                <w:szCs w:val="18"/>
                <w:lang w:val="de-DE" w:eastAsia="ja-JP"/>
              </w:rPr>
            </w:pPr>
            <w:r w:rsidRPr="004959EB">
              <w:rPr>
                <w:rFonts w:eastAsia="Yu Mincho" w:cs="Arial"/>
                <w:szCs w:val="18"/>
                <w:lang w:val="de-DE" w:eastAsia="ja-JP"/>
              </w:rPr>
              <w:t>RAN5 Decision</w:t>
            </w:r>
          </w:p>
        </w:tc>
        <w:tc>
          <w:tcPr>
            <w:tcW w:w="658" w:type="pct"/>
            <w:tcBorders>
              <w:top w:val="single" w:sz="4" w:space="0" w:color="auto"/>
              <w:left w:val="single" w:sz="4" w:space="0" w:color="auto"/>
              <w:bottom w:val="single" w:sz="4" w:space="0" w:color="auto"/>
              <w:right w:val="single" w:sz="4" w:space="0" w:color="auto"/>
            </w:tcBorders>
            <w:hideMark/>
          </w:tcPr>
          <w:p w14:paraId="11C2F290" w14:textId="77777777" w:rsidR="006632A4" w:rsidRPr="004959EB" w:rsidRDefault="006632A4" w:rsidP="00E65461">
            <w:pPr>
              <w:pStyle w:val="Header"/>
              <w:tabs>
                <w:tab w:val="left" w:pos="720"/>
              </w:tabs>
              <w:rPr>
                <w:rFonts w:eastAsia="Yu Mincho" w:cs="Arial"/>
                <w:szCs w:val="18"/>
                <w:lang w:val="de-DE" w:eastAsia="ja-JP"/>
              </w:rPr>
            </w:pPr>
            <w:r w:rsidRPr="004959EB">
              <w:rPr>
                <w:rFonts w:eastAsia="Yu Mincho" w:cs="Arial"/>
                <w:szCs w:val="18"/>
                <w:lang w:val="de-DE" w:eastAsia="ja-JP"/>
              </w:rPr>
              <w:t>Related documents</w:t>
            </w:r>
          </w:p>
        </w:tc>
      </w:tr>
      <w:tr w:rsidR="006632A4" w14:paraId="3B634002" w14:textId="77777777" w:rsidTr="00E65461">
        <w:trPr>
          <w:trHeight w:val="323"/>
        </w:trPr>
        <w:tc>
          <w:tcPr>
            <w:tcW w:w="873" w:type="pct"/>
            <w:tcBorders>
              <w:top w:val="single" w:sz="4" w:space="0" w:color="auto"/>
              <w:left w:val="single" w:sz="4" w:space="0" w:color="auto"/>
              <w:bottom w:val="single" w:sz="4" w:space="0" w:color="auto"/>
              <w:right w:val="single" w:sz="4" w:space="0" w:color="auto"/>
            </w:tcBorders>
            <w:hideMark/>
          </w:tcPr>
          <w:p w14:paraId="7BF3CC41"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b w:val="0"/>
                <w:lang w:val="de-DE" w:eastAsia="ja-JP"/>
              </w:rPr>
              <w:t>Maximum input level</w:t>
            </w:r>
          </w:p>
        </w:tc>
        <w:tc>
          <w:tcPr>
            <w:tcW w:w="747" w:type="pct"/>
            <w:tcBorders>
              <w:top w:val="single" w:sz="4" w:space="0" w:color="auto"/>
              <w:left w:val="single" w:sz="4" w:space="0" w:color="auto"/>
              <w:bottom w:val="nil"/>
              <w:right w:val="single" w:sz="4" w:space="0" w:color="auto"/>
            </w:tcBorders>
            <w:hideMark/>
          </w:tcPr>
          <w:p w14:paraId="52EFE282" w14:textId="77777777" w:rsidR="006632A4" w:rsidRPr="00F43C0E" w:rsidRDefault="006632A4" w:rsidP="00E65461">
            <w:pPr>
              <w:pStyle w:val="Header"/>
              <w:rPr>
                <w:rFonts w:eastAsia="Yu Mincho" w:cs="Arial"/>
                <w:b w:val="0"/>
                <w:lang w:val="de-DE" w:eastAsia="ja-JP"/>
              </w:rPr>
            </w:pPr>
            <w:r w:rsidRPr="00F43C0E">
              <w:rPr>
                <w:rFonts w:eastAsia="Yu Mincho" w:cs="Arial" w:hint="eastAsia"/>
                <w:b w:val="0"/>
                <w:lang w:val="de-DE" w:eastAsia="ja-JP"/>
              </w:rPr>
              <w:t>38.521-2</w:t>
            </w:r>
          </w:p>
          <w:p w14:paraId="57D169AB"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38.521-3(EN-DC with FR2)</w:t>
            </w:r>
          </w:p>
        </w:tc>
        <w:tc>
          <w:tcPr>
            <w:tcW w:w="659" w:type="pct"/>
            <w:tcBorders>
              <w:top w:val="single" w:sz="4" w:space="0" w:color="auto"/>
              <w:left w:val="single" w:sz="4" w:space="0" w:color="auto"/>
              <w:bottom w:val="nil"/>
              <w:right w:val="single" w:sz="4" w:space="0" w:color="auto"/>
            </w:tcBorders>
            <w:hideMark/>
          </w:tcPr>
          <w:p w14:paraId="17CFBA29"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High DL Power (Note1)</w:t>
            </w:r>
          </w:p>
        </w:tc>
        <w:tc>
          <w:tcPr>
            <w:tcW w:w="2063" w:type="pct"/>
            <w:tcBorders>
              <w:top w:val="single" w:sz="4" w:space="0" w:color="auto"/>
              <w:left w:val="single" w:sz="4" w:space="0" w:color="auto"/>
              <w:bottom w:val="single" w:sz="4" w:space="0" w:color="auto"/>
              <w:right w:val="single" w:sz="4" w:space="0" w:color="auto"/>
            </w:tcBorders>
            <w:hideMark/>
          </w:tcPr>
          <w:p w14:paraId="17258619"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Required relaxation is </w:t>
            </w:r>
            <w:r w:rsidRPr="00F43C0E">
              <w:rPr>
                <w:rFonts w:eastAsia="Yu Mincho" w:cs="Arial"/>
                <w:b w:val="0"/>
                <w:lang w:val="de-DE" w:eastAsia="ja-JP"/>
              </w:rPr>
              <w:t>26dB</w:t>
            </w:r>
            <w:r w:rsidRPr="00F43C0E">
              <w:rPr>
                <w:rFonts w:eastAsia="Yu Mincho" w:cs="Arial" w:hint="eastAsia"/>
                <w:b w:val="0"/>
                <w:lang w:val="de-DE" w:eastAsia="ja-JP"/>
              </w:rPr>
              <w:t xml:space="preserve"> for </w:t>
            </w:r>
            <w:r w:rsidRPr="00F43C0E">
              <w:rPr>
                <w:rFonts w:eastAsia="Yu Mincho" w:cs="Arial"/>
                <w:b w:val="0"/>
                <w:lang w:val="de-DE" w:eastAsia="ja-JP"/>
              </w:rPr>
              <w:t xml:space="preserve"> </w:t>
            </w:r>
            <w:r w:rsidRPr="00F43C0E">
              <w:rPr>
                <w:rFonts w:eastAsia="Yu Mincho" w:cs="Arial" w:hint="eastAsia"/>
                <w:b w:val="0"/>
                <w:lang w:val="de-DE" w:eastAsia="ja-JP"/>
              </w:rPr>
              <w:t xml:space="preserve">n257/n258/n261 and </w:t>
            </w:r>
            <w:r w:rsidRPr="00F43C0E">
              <w:rPr>
                <w:rFonts w:eastAsia="Yu Mincho" w:cs="Arial"/>
                <w:b w:val="0"/>
                <w:lang w:val="de-DE" w:eastAsia="ja-JP"/>
              </w:rPr>
              <w:t>34dB</w:t>
            </w:r>
            <w:r w:rsidRPr="00F43C0E">
              <w:rPr>
                <w:rFonts w:eastAsia="Yu Mincho" w:cs="Arial" w:hint="eastAsia"/>
                <w:b w:val="0"/>
                <w:lang w:val="de-DE" w:eastAsia="ja-JP"/>
              </w:rPr>
              <w:t xml:space="preserve"> for n260. RAN5 decided not to test</w:t>
            </w:r>
            <w:r w:rsidRPr="00F43C0E">
              <w:rPr>
                <w:rFonts w:eastAsia="Yu Mincho" w:cs="Arial"/>
                <w:b w:val="0"/>
                <w:lang w:val="de-DE" w:eastAsia="ja-JP"/>
              </w:rPr>
              <w:t xml:space="preserve"> on all </w:t>
            </w:r>
            <w:r w:rsidRPr="00F43C0E">
              <w:rPr>
                <w:rFonts w:eastAsia="Yu Mincho" w:cs="Arial" w:hint="eastAsia"/>
                <w:b w:val="0"/>
                <w:lang w:val="de-DE" w:eastAsia="ja-JP"/>
              </w:rPr>
              <w:t xml:space="preserve">FR2 </w:t>
            </w:r>
            <w:r w:rsidRPr="00F43C0E">
              <w:rPr>
                <w:rFonts w:eastAsia="Yu Mincho" w:cs="Arial"/>
                <w:b w:val="0"/>
                <w:lang w:val="de-DE" w:eastAsia="ja-JP"/>
              </w:rPr>
              <w:t>bands</w:t>
            </w:r>
            <w:r w:rsidRPr="00F43C0E">
              <w:rPr>
                <w:rFonts w:eastAsia="Yu Mincho" w:cs="Arial" w:hint="eastAsia"/>
                <w:b w:val="0"/>
                <w:lang w:val="de-DE" w:eastAsia="ja-JP"/>
              </w:rPr>
              <w:t>.</w:t>
            </w:r>
          </w:p>
        </w:tc>
        <w:tc>
          <w:tcPr>
            <w:tcW w:w="658" w:type="pct"/>
            <w:tcBorders>
              <w:top w:val="single" w:sz="4" w:space="0" w:color="auto"/>
              <w:left w:val="single" w:sz="4" w:space="0" w:color="auto"/>
              <w:bottom w:val="single" w:sz="4" w:space="0" w:color="auto"/>
              <w:right w:val="single" w:sz="4" w:space="0" w:color="auto"/>
            </w:tcBorders>
            <w:hideMark/>
          </w:tcPr>
          <w:p w14:paraId="15962056"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b w:val="0"/>
                <w:lang w:val="de-DE" w:eastAsia="ja-JP"/>
              </w:rPr>
              <w:t>R5-185805</w:t>
            </w:r>
          </w:p>
        </w:tc>
      </w:tr>
      <w:tr w:rsidR="006632A4" w14:paraId="068E34F8" w14:textId="77777777" w:rsidTr="00E65461">
        <w:tc>
          <w:tcPr>
            <w:tcW w:w="873" w:type="pct"/>
            <w:tcBorders>
              <w:top w:val="single" w:sz="4" w:space="0" w:color="auto"/>
              <w:left w:val="single" w:sz="4" w:space="0" w:color="auto"/>
              <w:bottom w:val="single" w:sz="4" w:space="0" w:color="auto"/>
              <w:right w:val="single" w:sz="4" w:space="0" w:color="auto"/>
            </w:tcBorders>
            <w:hideMark/>
          </w:tcPr>
          <w:p w14:paraId="699B727A"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selectivity</w:t>
            </w:r>
          </w:p>
        </w:tc>
        <w:tc>
          <w:tcPr>
            <w:tcW w:w="747" w:type="pct"/>
            <w:tcBorders>
              <w:top w:val="nil"/>
              <w:left w:val="single" w:sz="4" w:space="0" w:color="auto"/>
              <w:bottom w:val="nil"/>
              <w:right w:val="single" w:sz="4" w:space="0" w:color="auto"/>
            </w:tcBorders>
          </w:tcPr>
          <w:p w14:paraId="0B83A5CA" w14:textId="77777777" w:rsidR="006632A4" w:rsidRPr="00F43C0E" w:rsidRDefault="006632A4" w:rsidP="00E65461">
            <w:pPr>
              <w:pStyle w:val="Header"/>
              <w:tabs>
                <w:tab w:val="left" w:pos="720"/>
              </w:tabs>
              <w:rPr>
                <w:rFonts w:eastAsia="Yu Mincho" w:cs="Arial"/>
                <w:b w:val="0"/>
                <w:szCs w:val="18"/>
                <w:lang w:val="de-DE" w:eastAsia="ja-JP"/>
              </w:rPr>
            </w:pPr>
          </w:p>
        </w:tc>
        <w:tc>
          <w:tcPr>
            <w:tcW w:w="659" w:type="pct"/>
            <w:tcBorders>
              <w:top w:val="nil"/>
              <w:left w:val="single" w:sz="4" w:space="0" w:color="auto"/>
              <w:bottom w:val="single" w:sz="4" w:space="0" w:color="auto"/>
              <w:right w:val="single" w:sz="4" w:space="0" w:color="auto"/>
            </w:tcBorders>
          </w:tcPr>
          <w:p w14:paraId="547BE656" w14:textId="77777777" w:rsidR="006632A4" w:rsidRPr="00F43C0E" w:rsidRDefault="006632A4" w:rsidP="00E65461">
            <w:pPr>
              <w:pStyle w:val="Header"/>
              <w:tabs>
                <w:tab w:val="left" w:pos="720"/>
              </w:tabs>
              <w:rPr>
                <w:rFonts w:eastAsia="Yu Mincho" w:cs="Arial"/>
                <w:b w:val="0"/>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304054AC" w14:textId="77777777" w:rsidR="006632A4" w:rsidRPr="00F43C0E" w:rsidRDefault="006632A4" w:rsidP="00E65461">
            <w:pPr>
              <w:pStyle w:val="Header"/>
              <w:rPr>
                <w:rFonts w:eastAsia="Yu Mincho" w:cs="Arial"/>
                <w:b w:val="0"/>
                <w:lang w:eastAsia="ja-JP"/>
              </w:rPr>
            </w:pPr>
            <w:r w:rsidRPr="00F43C0E">
              <w:rPr>
                <w:rFonts w:eastAsia="Yu Mincho" w:cs="Arial" w:hint="eastAsia"/>
                <w:b w:val="0"/>
                <w:lang w:eastAsia="ja-JP"/>
              </w:rPr>
              <w:t xml:space="preserve">Required relaxation for the interferer of Case 2 is </w:t>
            </w:r>
            <w:r w:rsidRPr="00F43C0E">
              <w:rPr>
                <w:rFonts w:eastAsia="Yu Mincho" w:cs="Arial"/>
                <w:b w:val="0"/>
                <w:lang w:eastAsia="ja-JP"/>
              </w:rPr>
              <w:t>26dB</w:t>
            </w:r>
            <w:r w:rsidRPr="00F43C0E">
              <w:rPr>
                <w:rFonts w:eastAsia="Yu Mincho" w:cs="Arial" w:hint="eastAsia"/>
                <w:b w:val="0"/>
                <w:lang w:eastAsia="ja-JP"/>
              </w:rPr>
              <w:t xml:space="preserve"> for n257/n258/n261 and </w:t>
            </w:r>
            <w:r w:rsidRPr="00F43C0E">
              <w:rPr>
                <w:rFonts w:eastAsia="Yu Mincho" w:cs="Arial"/>
                <w:b w:val="0"/>
                <w:lang w:eastAsia="ja-JP"/>
              </w:rPr>
              <w:t>34dB</w:t>
            </w:r>
            <w:r w:rsidRPr="00F43C0E">
              <w:rPr>
                <w:rFonts w:eastAsia="Yu Mincho" w:cs="Arial" w:hint="eastAsia"/>
                <w:b w:val="0"/>
                <w:lang w:eastAsia="ja-JP"/>
              </w:rPr>
              <w:t xml:space="preserve"> for n260.</w:t>
            </w:r>
          </w:p>
          <w:p w14:paraId="2EFD25C0"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b w:val="0"/>
                <w:lang w:eastAsia="ja-JP"/>
              </w:rPr>
              <w:t>Do not test ACS case 2 since with relaxation it is same as case 1, focus on case 1.</w:t>
            </w:r>
          </w:p>
        </w:tc>
        <w:tc>
          <w:tcPr>
            <w:tcW w:w="658" w:type="pct"/>
            <w:tcBorders>
              <w:top w:val="single" w:sz="4" w:space="0" w:color="auto"/>
              <w:left w:val="single" w:sz="4" w:space="0" w:color="auto"/>
              <w:bottom w:val="single" w:sz="4" w:space="0" w:color="auto"/>
              <w:right w:val="single" w:sz="4" w:space="0" w:color="auto"/>
            </w:tcBorders>
            <w:hideMark/>
          </w:tcPr>
          <w:p w14:paraId="409DF35E"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195134</w:t>
            </w:r>
          </w:p>
        </w:tc>
      </w:tr>
      <w:tr w:rsidR="006632A4" w14:paraId="5B396980" w14:textId="77777777" w:rsidTr="00E65461">
        <w:tc>
          <w:tcPr>
            <w:tcW w:w="873" w:type="pct"/>
            <w:tcBorders>
              <w:top w:val="single" w:sz="4" w:space="0" w:color="auto"/>
              <w:left w:val="single" w:sz="4" w:space="0" w:color="auto"/>
              <w:bottom w:val="single" w:sz="4" w:space="0" w:color="auto"/>
              <w:right w:val="single" w:sz="4" w:space="0" w:color="auto"/>
            </w:tcBorders>
            <w:hideMark/>
          </w:tcPr>
          <w:p w14:paraId="1892BD14"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b w:val="0"/>
                <w:lang w:val="de-DE" w:eastAsia="ja-JP"/>
              </w:rPr>
              <w:t>Transmit OFF power</w:t>
            </w:r>
          </w:p>
        </w:tc>
        <w:tc>
          <w:tcPr>
            <w:tcW w:w="747" w:type="pct"/>
            <w:tcBorders>
              <w:top w:val="nil"/>
              <w:left w:val="single" w:sz="4" w:space="0" w:color="auto"/>
              <w:bottom w:val="nil"/>
              <w:right w:val="single" w:sz="4" w:space="0" w:color="auto"/>
            </w:tcBorders>
          </w:tcPr>
          <w:p w14:paraId="506C5778" w14:textId="77777777" w:rsidR="006632A4" w:rsidRPr="00F43C0E" w:rsidRDefault="006632A4" w:rsidP="00E65461">
            <w:pPr>
              <w:pStyle w:val="Header"/>
              <w:tabs>
                <w:tab w:val="left" w:pos="720"/>
              </w:tabs>
              <w:rPr>
                <w:rFonts w:eastAsia="Yu Mincho" w:cs="Arial"/>
                <w:b w:val="0"/>
                <w:szCs w:val="18"/>
                <w:lang w:val="de-DE" w:eastAsia="ja-JP"/>
              </w:rPr>
            </w:pPr>
          </w:p>
        </w:tc>
        <w:tc>
          <w:tcPr>
            <w:tcW w:w="659" w:type="pct"/>
            <w:tcBorders>
              <w:top w:val="single" w:sz="4" w:space="0" w:color="auto"/>
              <w:left w:val="single" w:sz="4" w:space="0" w:color="auto"/>
              <w:bottom w:val="nil"/>
              <w:right w:val="single" w:sz="4" w:space="0" w:color="auto"/>
            </w:tcBorders>
            <w:hideMark/>
          </w:tcPr>
          <w:p w14:paraId="67648111"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Low UL Power(Note 2)</w:t>
            </w:r>
          </w:p>
        </w:tc>
        <w:tc>
          <w:tcPr>
            <w:tcW w:w="2063" w:type="pct"/>
            <w:tcBorders>
              <w:top w:val="single" w:sz="4" w:space="0" w:color="auto"/>
              <w:left w:val="single" w:sz="4" w:space="0" w:color="auto"/>
              <w:bottom w:val="single" w:sz="4" w:space="0" w:color="auto"/>
              <w:right w:val="single" w:sz="4" w:space="0" w:color="auto"/>
            </w:tcBorders>
            <w:hideMark/>
          </w:tcPr>
          <w:p w14:paraId="15B8474A"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hint="eastAsia"/>
                <w:b w:val="0"/>
                <w:lang w:eastAsia="ja-JP"/>
              </w:rPr>
              <w:t xml:space="preserve">Required relaxation is agreed </w:t>
            </w:r>
            <w:r w:rsidRPr="00F43C0E">
              <w:rPr>
                <w:rFonts w:eastAsia="Yu Mincho" w:cs="Arial"/>
                <w:b w:val="0"/>
                <w:lang w:eastAsia="ja-JP"/>
              </w:rPr>
              <w:t>as 30.4dB for 400MHz</w:t>
            </w:r>
            <w:r w:rsidRPr="00F43C0E">
              <w:rPr>
                <w:rFonts w:eastAsia="Yu Mincho" w:cs="Arial" w:hint="eastAsia"/>
                <w:b w:val="0"/>
                <w:lang w:eastAsia="ja-JP"/>
              </w:rPr>
              <w:t xml:space="preserve"> for n257/n258/n261</w:t>
            </w:r>
            <w:r w:rsidRPr="00F43C0E">
              <w:rPr>
                <w:rFonts w:eastAsia="Yu Mincho" w:cs="Arial"/>
                <w:b w:val="0"/>
                <w:lang w:eastAsia="ja-JP"/>
              </w:rPr>
              <w:t xml:space="preserve"> with 1dB SNR impact</w:t>
            </w:r>
            <w:r w:rsidRPr="00F43C0E">
              <w:rPr>
                <w:rFonts w:eastAsia="Yu Mincho" w:cs="Arial" w:hint="eastAsia"/>
                <w:b w:val="0"/>
                <w:lang w:eastAsia="ja-JP"/>
              </w:rPr>
              <w:t>, for n260 for 400MHz BW</w:t>
            </w:r>
            <w:r w:rsidRPr="00F43C0E">
              <w:rPr>
                <w:rFonts w:eastAsia="Yu Mincho" w:cs="Arial"/>
                <w:b w:val="0"/>
                <w:lang w:eastAsia="ja-JP"/>
              </w:rPr>
              <w:t xml:space="preserve"> further discussion is required</w:t>
            </w:r>
            <w:r w:rsidRPr="00F43C0E">
              <w:rPr>
                <w:rFonts w:eastAsia="Yu Mincho" w:cs="Arial" w:hint="eastAsia"/>
                <w:b w:val="0"/>
                <w:lang w:eastAsia="ja-JP"/>
              </w:rPr>
              <w:t xml:space="preserve">. </w:t>
            </w:r>
            <w:r w:rsidRPr="00F43C0E">
              <w:rPr>
                <w:rFonts w:eastAsia="Yu Mincho" w:cs="Arial"/>
                <w:b w:val="0"/>
                <w:lang w:eastAsia="ja-JP"/>
              </w:rPr>
              <w:br/>
            </w:r>
            <w:r w:rsidRPr="00F43C0E">
              <w:rPr>
                <w:rFonts w:eastAsia="Yu Mincho" w:cs="Arial"/>
                <w:b w:val="0"/>
                <w:lang w:val="de-DE" w:eastAsia="ja-JP"/>
              </w:rPr>
              <w:t>Not to test or test with relaxation is TBD.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9939AC1" w14:textId="77777777" w:rsidR="006632A4" w:rsidRPr="00F43C0E" w:rsidRDefault="006632A4" w:rsidP="00E65461">
            <w:pPr>
              <w:pStyle w:val="Header"/>
              <w:rPr>
                <w:rFonts w:eastAsia="Yu Mincho" w:cs="Arial"/>
                <w:b w:val="0"/>
                <w:lang w:val="de-DE" w:eastAsia="ja-JP"/>
              </w:rPr>
            </w:pPr>
            <w:r w:rsidRPr="00F43C0E">
              <w:rPr>
                <w:rFonts w:eastAsia="Yu Mincho" w:cs="Arial"/>
                <w:b w:val="0"/>
                <w:lang w:val="de-DE" w:eastAsia="ja-JP"/>
              </w:rPr>
              <w:t>R5-187273</w:t>
            </w:r>
          </w:p>
          <w:p w14:paraId="0EA4B2C9" w14:textId="77777777" w:rsidR="006632A4" w:rsidRPr="00F43C0E" w:rsidRDefault="006632A4" w:rsidP="00E65461">
            <w:pPr>
              <w:pStyle w:val="Header"/>
              <w:rPr>
                <w:rFonts w:eastAsia="Yu Mincho" w:cs="Arial"/>
                <w:b w:val="0"/>
                <w:lang w:val="de-DE" w:eastAsia="ja-JP"/>
              </w:rPr>
            </w:pPr>
            <w:r w:rsidRPr="00F43C0E">
              <w:rPr>
                <w:rFonts w:eastAsia="Yu Mincho" w:cs="Arial"/>
                <w:b w:val="0"/>
                <w:lang w:val="de-DE" w:eastAsia="ja-JP"/>
              </w:rPr>
              <w:t>R5-187274</w:t>
            </w:r>
          </w:p>
          <w:p w14:paraId="5F6B863C" w14:textId="77777777" w:rsidR="006632A4" w:rsidRPr="00F43C0E" w:rsidRDefault="006632A4" w:rsidP="00E65461">
            <w:pPr>
              <w:pStyle w:val="Header"/>
              <w:rPr>
                <w:rFonts w:eastAsia="Yu Mincho" w:cs="Arial"/>
                <w:b w:val="0"/>
                <w:lang w:val="de-DE" w:eastAsia="ja-JP"/>
              </w:rPr>
            </w:pPr>
            <w:r w:rsidRPr="00F43C0E">
              <w:rPr>
                <w:rFonts w:eastAsia="Yu Mincho" w:cs="Arial" w:hint="eastAsia"/>
                <w:b w:val="0"/>
                <w:lang w:val="de-DE" w:eastAsia="ja-JP"/>
              </w:rPr>
              <w:t>R5-188063</w:t>
            </w:r>
          </w:p>
          <w:p w14:paraId="3B0994FF" w14:textId="77777777" w:rsidR="006632A4" w:rsidRPr="00F43C0E" w:rsidRDefault="006632A4" w:rsidP="00E65461">
            <w:pPr>
              <w:pStyle w:val="Header"/>
              <w:rPr>
                <w:rFonts w:eastAsia="Yu Mincho" w:cs="Arial"/>
                <w:b w:val="0"/>
                <w:lang w:val="de-DE" w:eastAsia="ja-JP"/>
              </w:rPr>
            </w:pPr>
            <w:r w:rsidRPr="00F43C0E">
              <w:rPr>
                <w:rFonts w:eastAsia="Yu Mincho" w:cs="Arial" w:hint="eastAsia"/>
                <w:b w:val="0"/>
                <w:lang w:val="de-DE" w:eastAsia="ja-JP"/>
              </w:rPr>
              <w:t>R5-188065</w:t>
            </w:r>
          </w:p>
          <w:p w14:paraId="79A5D55F"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195135</w:t>
            </w:r>
          </w:p>
          <w:p w14:paraId="69F79C70" w14:textId="77777777" w:rsidR="006632A4" w:rsidRPr="00F43C0E" w:rsidRDefault="006632A4" w:rsidP="00E65461">
            <w:pPr>
              <w:pStyle w:val="Header"/>
              <w:tabs>
                <w:tab w:val="left" w:pos="720"/>
              </w:tabs>
              <w:rPr>
                <w:rFonts w:eastAsia="Yu Mincho" w:cs="Arial"/>
                <w:b w:val="0"/>
                <w:szCs w:val="18"/>
                <w:lang w:val="de-DE" w:eastAsia="ja-JP"/>
              </w:rPr>
            </w:pPr>
          </w:p>
        </w:tc>
      </w:tr>
      <w:tr w:rsidR="006632A4" w14:paraId="756A73CB" w14:textId="77777777" w:rsidTr="00E65461">
        <w:tc>
          <w:tcPr>
            <w:tcW w:w="873" w:type="pct"/>
            <w:tcBorders>
              <w:top w:val="single" w:sz="4" w:space="0" w:color="auto"/>
              <w:left w:val="single" w:sz="4" w:space="0" w:color="auto"/>
              <w:bottom w:val="single" w:sz="4" w:space="0" w:color="auto"/>
              <w:right w:val="single" w:sz="4" w:space="0" w:color="auto"/>
            </w:tcBorders>
            <w:hideMark/>
          </w:tcPr>
          <w:p w14:paraId="44913428"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(Receiver) </w:t>
            </w:r>
            <w:r w:rsidRPr="00F43C0E">
              <w:rPr>
                <w:rFonts w:eastAsia="Yu Mincho" w:cs="Arial"/>
                <w:b w:val="0"/>
                <w:lang w:val="de-DE" w:eastAsia="ja-JP"/>
              </w:rPr>
              <w:t>Spurious emissions</w:t>
            </w:r>
          </w:p>
        </w:tc>
        <w:tc>
          <w:tcPr>
            <w:tcW w:w="747" w:type="pct"/>
            <w:tcBorders>
              <w:top w:val="nil"/>
              <w:left w:val="single" w:sz="4" w:space="0" w:color="auto"/>
              <w:bottom w:val="nil"/>
              <w:right w:val="single" w:sz="4" w:space="0" w:color="auto"/>
            </w:tcBorders>
          </w:tcPr>
          <w:p w14:paraId="118AC883" w14:textId="77777777" w:rsidR="006632A4" w:rsidRPr="00F43C0E" w:rsidRDefault="006632A4" w:rsidP="00E65461">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143B053C" w14:textId="77777777" w:rsidR="006632A4" w:rsidRPr="00F43C0E" w:rsidRDefault="006632A4" w:rsidP="00E65461">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374498C1" w14:textId="77777777" w:rsidR="006632A4" w:rsidRPr="00F43C0E" w:rsidRDefault="006632A4" w:rsidP="00E65461">
            <w:pPr>
              <w:pStyle w:val="Header"/>
              <w:rPr>
                <w:rFonts w:eastAsia="Yu Mincho" w:cs="Arial"/>
                <w:b w:val="0"/>
                <w:lang w:eastAsia="ja-JP"/>
              </w:rPr>
            </w:pPr>
            <w:r w:rsidRPr="00F43C0E">
              <w:rPr>
                <w:rFonts w:eastAsia="Yu Mincho" w:cs="Arial"/>
                <w:b w:val="0"/>
                <w:lang w:eastAsia="ja-JP"/>
              </w:rPr>
              <w:t>Estimated SNR is smaller than -15 dB, required relaxation larger than 25 dB depending on frequency range</w:t>
            </w:r>
            <w:r w:rsidRPr="00F43C0E">
              <w:rPr>
                <w:rFonts w:eastAsia="Yu Mincho" w:cs="Arial" w:hint="eastAsia"/>
                <w:b w:val="0"/>
                <w:lang w:eastAsia="ja-JP"/>
              </w:rPr>
              <w:t xml:space="preserve">. </w:t>
            </w:r>
          </w:p>
          <w:p w14:paraId="5DA4E24D"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b w:val="0"/>
                <w:lang w:val="de-DE" w:eastAsia="ja-JP"/>
              </w:rPr>
              <w:t>Not to test or test with relaxation is TBD.</w:t>
            </w:r>
          </w:p>
        </w:tc>
        <w:tc>
          <w:tcPr>
            <w:tcW w:w="658" w:type="pct"/>
            <w:vMerge/>
            <w:tcBorders>
              <w:top w:val="single" w:sz="4" w:space="0" w:color="auto"/>
              <w:left w:val="single" w:sz="4" w:space="0" w:color="auto"/>
              <w:bottom w:val="single" w:sz="4" w:space="0" w:color="auto"/>
              <w:right w:val="single" w:sz="4" w:space="0" w:color="auto"/>
            </w:tcBorders>
            <w:hideMark/>
          </w:tcPr>
          <w:p w14:paraId="198A9B09" w14:textId="77777777" w:rsidR="006632A4" w:rsidRPr="00F43C0E" w:rsidRDefault="006632A4" w:rsidP="00E65461">
            <w:pPr>
              <w:rPr>
                <w:rFonts w:ascii="Arial" w:eastAsia="Yu Mincho" w:hAnsi="Arial" w:cs="Arial"/>
                <w:sz w:val="18"/>
                <w:szCs w:val="18"/>
                <w:lang w:val="de-DE" w:eastAsia="ja-JP"/>
              </w:rPr>
            </w:pPr>
          </w:p>
        </w:tc>
      </w:tr>
      <w:tr w:rsidR="006632A4" w14:paraId="495F82CD" w14:textId="77777777" w:rsidTr="00E65461">
        <w:tc>
          <w:tcPr>
            <w:tcW w:w="873" w:type="pct"/>
            <w:tcBorders>
              <w:top w:val="single" w:sz="4" w:space="0" w:color="auto"/>
              <w:left w:val="single" w:sz="4" w:space="0" w:color="auto"/>
              <w:bottom w:val="single" w:sz="4" w:space="0" w:color="auto"/>
              <w:right w:val="single" w:sz="4" w:space="0" w:color="auto"/>
            </w:tcBorders>
            <w:hideMark/>
          </w:tcPr>
          <w:p w14:paraId="0FE9368C"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b w:val="0"/>
                <w:lang w:eastAsia="ja-JP"/>
              </w:rPr>
              <w:t>Spurious emission band UE co-existence</w:t>
            </w:r>
          </w:p>
        </w:tc>
        <w:tc>
          <w:tcPr>
            <w:tcW w:w="747" w:type="pct"/>
            <w:tcBorders>
              <w:top w:val="nil"/>
              <w:left w:val="single" w:sz="4" w:space="0" w:color="auto"/>
              <w:bottom w:val="nil"/>
              <w:right w:val="single" w:sz="4" w:space="0" w:color="auto"/>
            </w:tcBorders>
          </w:tcPr>
          <w:p w14:paraId="00DE5FD2" w14:textId="77777777" w:rsidR="006632A4" w:rsidRPr="00F43C0E" w:rsidRDefault="006632A4" w:rsidP="00E65461">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6E0EAF49" w14:textId="77777777" w:rsidR="006632A4" w:rsidRPr="00F43C0E" w:rsidRDefault="006632A4" w:rsidP="00E65461">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446785F9"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r w:rsidRPr="00F43C0E">
              <w:rPr>
                <w:rFonts w:eastAsia="Yu Mincho" w:cs="Arial"/>
                <w:b w:val="0"/>
                <w:lang w:val="de-DE" w:eastAsia="ja-JP"/>
              </w:rPr>
              <w:t>.</w:t>
            </w:r>
          </w:p>
        </w:tc>
        <w:tc>
          <w:tcPr>
            <w:tcW w:w="658" w:type="pct"/>
            <w:vMerge/>
            <w:tcBorders>
              <w:top w:val="single" w:sz="4" w:space="0" w:color="auto"/>
              <w:left w:val="single" w:sz="4" w:space="0" w:color="auto"/>
              <w:bottom w:val="single" w:sz="4" w:space="0" w:color="auto"/>
              <w:right w:val="single" w:sz="4" w:space="0" w:color="auto"/>
            </w:tcBorders>
            <w:hideMark/>
          </w:tcPr>
          <w:p w14:paraId="528B699D" w14:textId="77777777" w:rsidR="006632A4" w:rsidRPr="00F43C0E" w:rsidRDefault="006632A4" w:rsidP="00E65461">
            <w:pPr>
              <w:rPr>
                <w:rFonts w:ascii="Arial" w:eastAsia="Yu Mincho" w:hAnsi="Arial" w:cs="Arial"/>
                <w:sz w:val="18"/>
                <w:szCs w:val="18"/>
                <w:lang w:val="de-DE" w:eastAsia="ja-JP"/>
              </w:rPr>
            </w:pPr>
          </w:p>
        </w:tc>
      </w:tr>
      <w:tr w:rsidR="006632A4" w14:paraId="49FA54CA" w14:textId="77777777" w:rsidTr="00E65461">
        <w:tc>
          <w:tcPr>
            <w:tcW w:w="873" w:type="pct"/>
            <w:tcBorders>
              <w:top w:val="single" w:sz="4" w:space="0" w:color="auto"/>
              <w:left w:val="single" w:sz="4" w:space="0" w:color="auto"/>
              <w:bottom w:val="single" w:sz="4" w:space="0" w:color="auto"/>
              <w:right w:val="single" w:sz="4" w:space="0" w:color="auto"/>
            </w:tcBorders>
            <w:hideMark/>
          </w:tcPr>
          <w:p w14:paraId="7029D959"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b w:val="0"/>
                <w:lang w:val="de-DE" w:eastAsia="ja-JP"/>
              </w:rPr>
              <w:lastRenderedPageBreak/>
              <w:t>Adjacent channel leakage ratio</w:t>
            </w:r>
          </w:p>
        </w:tc>
        <w:tc>
          <w:tcPr>
            <w:tcW w:w="747" w:type="pct"/>
            <w:tcBorders>
              <w:top w:val="nil"/>
              <w:left w:val="single" w:sz="4" w:space="0" w:color="auto"/>
              <w:bottom w:val="nil"/>
              <w:right w:val="single" w:sz="4" w:space="0" w:color="auto"/>
            </w:tcBorders>
          </w:tcPr>
          <w:p w14:paraId="1084143C" w14:textId="77777777" w:rsidR="006632A4" w:rsidRPr="00F43C0E" w:rsidRDefault="006632A4" w:rsidP="00E65461">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360900AA" w14:textId="77777777" w:rsidR="006632A4" w:rsidRPr="00F43C0E" w:rsidRDefault="006632A4" w:rsidP="00E65461">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126B3C72"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36FAAE37" w14:textId="77777777" w:rsidR="006632A4" w:rsidRPr="00F43C0E" w:rsidRDefault="006632A4" w:rsidP="00E65461">
            <w:pPr>
              <w:rPr>
                <w:rFonts w:ascii="Arial" w:eastAsia="Yu Mincho" w:hAnsi="Arial" w:cs="Arial"/>
                <w:sz w:val="18"/>
                <w:szCs w:val="18"/>
                <w:lang w:val="de-DE" w:eastAsia="ja-JP"/>
              </w:rPr>
            </w:pPr>
          </w:p>
        </w:tc>
      </w:tr>
      <w:tr w:rsidR="006632A4" w14:paraId="2F697A03" w14:textId="77777777" w:rsidTr="00E65461">
        <w:tc>
          <w:tcPr>
            <w:tcW w:w="873" w:type="pct"/>
            <w:tcBorders>
              <w:top w:val="single" w:sz="4" w:space="0" w:color="auto"/>
              <w:left w:val="single" w:sz="4" w:space="0" w:color="auto"/>
              <w:bottom w:val="single" w:sz="4" w:space="0" w:color="auto"/>
              <w:right w:val="single" w:sz="4" w:space="0" w:color="auto"/>
            </w:tcBorders>
            <w:hideMark/>
          </w:tcPr>
          <w:p w14:paraId="239396F0"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Minimum output power</w:t>
            </w:r>
          </w:p>
        </w:tc>
        <w:tc>
          <w:tcPr>
            <w:tcW w:w="747" w:type="pct"/>
            <w:tcBorders>
              <w:top w:val="nil"/>
              <w:left w:val="single" w:sz="4" w:space="0" w:color="auto"/>
              <w:bottom w:val="nil"/>
              <w:right w:val="single" w:sz="4" w:space="0" w:color="auto"/>
            </w:tcBorders>
          </w:tcPr>
          <w:p w14:paraId="70122896" w14:textId="77777777" w:rsidR="006632A4" w:rsidRPr="00F43C0E" w:rsidRDefault="006632A4" w:rsidP="00E65461">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03ABF390" w14:textId="77777777" w:rsidR="006632A4" w:rsidRPr="00F43C0E" w:rsidRDefault="006632A4" w:rsidP="00E65461">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76AB9288"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2F216697" w14:textId="77777777" w:rsidR="006632A4" w:rsidRPr="00F43C0E" w:rsidRDefault="006632A4" w:rsidP="00E65461">
            <w:pPr>
              <w:rPr>
                <w:rFonts w:ascii="Arial" w:eastAsia="Yu Mincho" w:hAnsi="Arial" w:cs="Arial"/>
                <w:sz w:val="18"/>
                <w:szCs w:val="18"/>
                <w:lang w:val="de-DE" w:eastAsia="ja-JP"/>
              </w:rPr>
            </w:pPr>
          </w:p>
        </w:tc>
      </w:tr>
      <w:tr w:rsidR="006632A4" w14:paraId="5D698106" w14:textId="77777777" w:rsidTr="00E65461">
        <w:tc>
          <w:tcPr>
            <w:tcW w:w="5000" w:type="pct"/>
            <w:gridSpan w:val="5"/>
            <w:tcBorders>
              <w:top w:val="single" w:sz="4" w:space="0" w:color="auto"/>
              <w:left w:val="single" w:sz="4" w:space="0" w:color="auto"/>
              <w:bottom w:val="single" w:sz="4" w:space="0" w:color="auto"/>
              <w:right w:val="single" w:sz="4" w:space="0" w:color="auto"/>
            </w:tcBorders>
            <w:hideMark/>
          </w:tcPr>
          <w:p w14:paraId="7C7A7FAE" w14:textId="77777777" w:rsidR="006632A4" w:rsidRPr="00F43C0E" w:rsidRDefault="006632A4" w:rsidP="00E65461">
            <w:pPr>
              <w:pStyle w:val="Header"/>
              <w:rPr>
                <w:rFonts w:eastAsia="Yu Mincho" w:cs="Arial"/>
                <w:b w:val="0"/>
                <w:lang w:val="de-DE" w:eastAsia="ja-JP"/>
              </w:rPr>
            </w:pPr>
            <w:r w:rsidRPr="00F43C0E">
              <w:rPr>
                <w:rFonts w:eastAsia="Yu Mincho" w:cs="Arial" w:hint="eastAsia"/>
                <w:b w:val="0"/>
                <w:lang w:val="de-DE" w:eastAsia="ja-JP"/>
              </w:rPr>
              <w:t xml:space="preserve">Note 1 : Testability issue due to the upper limit of downlink power achievable from the test system. </w:t>
            </w:r>
          </w:p>
          <w:p w14:paraId="02813811" w14:textId="77777777" w:rsidR="006632A4" w:rsidRPr="00F43C0E" w:rsidRDefault="006632A4" w:rsidP="00E65461">
            <w:pPr>
              <w:pStyle w:val="Header"/>
              <w:rPr>
                <w:rFonts w:eastAsia="Yu Mincho" w:cs="Arial"/>
                <w:b w:val="0"/>
                <w:lang w:val="de-DE" w:eastAsia="ja-JP"/>
              </w:rPr>
            </w:pPr>
            <w:r w:rsidRPr="00F43C0E">
              <w:rPr>
                <w:rFonts w:eastAsia="Yu Mincho" w:cs="Arial" w:hint="eastAsia"/>
                <w:b w:val="0"/>
                <w:lang w:val="de-DE" w:eastAsia="ja-JP"/>
              </w:rPr>
              <w:t>Note 2 : Testability issue due to the lower limit of measurable power level by the test system.</w:t>
            </w:r>
          </w:p>
          <w:p w14:paraId="32508F69" w14:textId="77777777" w:rsidR="006632A4" w:rsidRPr="00F43C0E" w:rsidRDefault="006632A4" w:rsidP="00E65461">
            <w:pPr>
              <w:pStyle w:val="Header"/>
              <w:rPr>
                <w:rFonts w:eastAsia="Yu Mincho" w:cs="Arial"/>
                <w:b w:val="0"/>
                <w:lang w:val="de-DE" w:eastAsia="ja-JP"/>
              </w:rPr>
            </w:pPr>
            <w:r w:rsidRPr="00F43C0E">
              <w:rPr>
                <w:rFonts w:eastAsia="Yu Mincho" w:cs="Arial" w:hint="eastAsia"/>
                <w:b w:val="0"/>
                <w:lang w:val="de-DE" w:eastAsia="ja-JP"/>
              </w:rPr>
              <w:t xml:space="preserve">Note 3 : This table does not list all of the test cases with testability issues. RAN5 continue to study the testability of remaining TRx test cases and treatment of them. </w:t>
            </w:r>
          </w:p>
          <w:p w14:paraId="579A8191" w14:textId="77777777" w:rsidR="006632A4" w:rsidRPr="00F43C0E" w:rsidRDefault="006632A4" w:rsidP="00E65461">
            <w:pPr>
              <w:pStyle w:val="Header"/>
              <w:rPr>
                <w:rFonts w:eastAsia="Yu Mincho" w:cs="Arial"/>
                <w:b w:val="0"/>
                <w:szCs w:val="18"/>
                <w:lang w:val="de-DE" w:eastAsia="ja-JP"/>
              </w:rPr>
            </w:pPr>
          </w:p>
        </w:tc>
      </w:tr>
    </w:tbl>
    <w:p w14:paraId="3387ABDB" w14:textId="77777777" w:rsidR="006632A4" w:rsidRDefault="006632A4" w:rsidP="006632A4"/>
    <w:p w14:paraId="63F8C8E6" w14:textId="746C6D26" w:rsidR="006632A4" w:rsidRDefault="006632A4" w:rsidP="00977071">
      <w:r>
        <w:t>Since some of these requirements verify UE compliance with regulatory requirements, the relaxations identified for Rel-15 need to be reduced.</w:t>
      </w:r>
    </w:p>
    <w:p w14:paraId="399938F2" w14:textId="4E7C0FA2" w:rsidR="006E1856" w:rsidRDefault="006E1856" w:rsidP="00536BC4">
      <w:pPr>
        <w:rPr>
          <w:rFonts w:eastAsia="SimSun"/>
        </w:rPr>
      </w:pPr>
    </w:p>
    <w:p w14:paraId="243D995E" w14:textId="77777777" w:rsidR="004633DB" w:rsidRDefault="00267FCA" w:rsidP="00536BC4">
      <w:pPr>
        <w:rPr>
          <w:rFonts w:eastAsia="SimSun"/>
        </w:rPr>
      </w:pPr>
      <w:r>
        <w:rPr>
          <w:rFonts w:eastAsia="SimSun"/>
        </w:rPr>
        <w:t>Because the high DL power / low UL power objective allows the consideration of alternative methodologies, it may be useful to progress the work in two tracks:  one examining possible enhancements to the permitted test methods listed in TR38.810 and another focusing on alternative methods.</w:t>
      </w:r>
    </w:p>
    <w:p w14:paraId="5655013B" w14:textId="77777777" w:rsidR="00267FCA" w:rsidRDefault="00267FCA" w:rsidP="00536BC4">
      <w:pPr>
        <w:rPr>
          <w:rFonts w:eastAsia="SimSun"/>
        </w:rPr>
      </w:pPr>
    </w:p>
    <w:p w14:paraId="7E8E0F91" w14:textId="57D9C166" w:rsidR="009F4B01" w:rsidRDefault="009F4B01" w:rsidP="00536BC4">
      <w:r w:rsidRPr="009F4B01">
        <w:rPr>
          <w:rFonts w:eastAsia="SimSun"/>
          <w:b/>
        </w:rPr>
        <w:t xml:space="preserve">Proposal </w:t>
      </w:r>
      <w:r w:rsidR="006E1856">
        <w:rPr>
          <w:rFonts w:eastAsia="SimSun"/>
          <w:b/>
        </w:rPr>
        <w:t>1</w:t>
      </w:r>
      <w:r>
        <w:rPr>
          <w:rFonts w:eastAsia="SimSun"/>
        </w:rPr>
        <w:t xml:space="preserve">: </w:t>
      </w:r>
      <w:r w:rsidR="006F4AAB">
        <w:t xml:space="preserve">Progress the work on the high DL power / low UL power objective in two tracks: </w:t>
      </w:r>
      <w:r w:rsidR="006F4AAB">
        <w:rPr>
          <w:rFonts w:eastAsia="SimSun"/>
        </w:rPr>
        <w:t>one examining possible enhancements to the permitted test methods listed in TR38.810 and another focusing on alternative methods.</w:t>
      </w:r>
    </w:p>
    <w:p w14:paraId="4114B3A7" w14:textId="77777777" w:rsidR="008F0B27" w:rsidRDefault="008F0B27" w:rsidP="00536BC4">
      <w:pPr>
        <w:rPr>
          <w:rFonts w:eastAsia="SimSun"/>
        </w:rPr>
      </w:pPr>
    </w:p>
    <w:p w14:paraId="022DEB65" w14:textId="6CA0B7C7" w:rsidR="00D14C26" w:rsidRPr="00871EA3" w:rsidRDefault="0036017F" w:rsidP="00F93EB0">
      <w:pPr>
        <w:pStyle w:val="Heading1"/>
        <w:rPr>
          <w:lang w:val="en-US"/>
        </w:rPr>
      </w:pPr>
      <w:r>
        <w:rPr>
          <w:lang w:val="en-US"/>
        </w:rPr>
        <w:t>Conclusions</w:t>
      </w:r>
    </w:p>
    <w:p w14:paraId="1F9B26D0" w14:textId="5A3A6516" w:rsidR="004919E5" w:rsidRDefault="006F4AAB" w:rsidP="004919E5">
      <w:r>
        <w:t>In this contribution we have shared views on the high DL power / low UL power objective and made the following proposal:</w:t>
      </w:r>
    </w:p>
    <w:p w14:paraId="0D44E9B7" w14:textId="27C6DA76" w:rsidR="006F4AAB" w:rsidRDefault="006F4AAB" w:rsidP="004919E5"/>
    <w:p w14:paraId="12B7B790" w14:textId="6B6B6694" w:rsidR="006F4AAB" w:rsidRPr="006E1856" w:rsidRDefault="006F4AAB" w:rsidP="004919E5">
      <w:r w:rsidRPr="009F4B01">
        <w:rPr>
          <w:rFonts w:eastAsia="SimSun"/>
          <w:b/>
        </w:rPr>
        <w:t xml:space="preserve">Proposal </w:t>
      </w:r>
      <w:r>
        <w:rPr>
          <w:rFonts w:eastAsia="SimSun"/>
          <w:b/>
        </w:rPr>
        <w:t>1</w:t>
      </w:r>
      <w:r>
        <w:rPr>
          <w:rFonts w:eastAsia="SimSun"/>
        </w:rPr>
        <w:t xml:space="preserve">: </w:t>
      </w:r>
      <w:r>
        <w:t xml:space="preserve">Progress the work on the high DL power / low UL power objective in two tracks: </w:t>
      </w:r>
      <w:r>
        <w:rPr>
          <w:rFonts w:eastAsia="SimSun"/>
        </w:rPr>
        <w:t>one examining possible enhancements to the permitted test methods listed in TR38.810 and another focusing on alternative methods.</w:t>
      </w:r>
      <w:bookmarkStart w:id="0" w:name="_GoBack"/>
      <w:bookmarkEnd w:id="0"/>
    </w:p>
    <w:p w14:paraId="47BA569A" w14:textId="61634C1C" w:rsidR="0017048A" w:rsidRPr="00871EA3" w:rsidRDefault="0017048A" w:rsidP="00342BBF">
      <w:pPr>
        <w:pStyle w:val="Heading1"/>
        <w:rPr>
          <w:lang w:val="en-US"/>
        </w:rPr>
      </w:pPr>
      <w:r w:rsidRPr="00871EA3">
        <w:rPr>
          <w:lang w:val="en-US"/>
        </w:rPr>
        <w:t>References</w:t>
      </w:r>
    </w:p>
    <w:p w14:paraId="32EC013D" w14:textId="4E8291B1" w:rsidR="005007F2" w:rsidRDefault="00167928" w:rsidP="00A60163">
      <w:pPr>
        <w:widowControl w:val="0"/>
        <w:numPr>
          <w:ilvl w:val="0"/>
          <w:numId w:val="5"/>
        </w:numPr>
      </w:pPr>
      <w:bookmarkStart w:id="1" w:name="_Ref525858808"/>
      <w:bookmarkStart w:id="2" w:name="_Ref4674769"/>
      <w:r>
        <w:t>3GPP TS38.101-2</w:t>
      </w:r>
      <w:bookmarkEnd w:id="1"/>
      <w:r>
        <w:t xml:space="preserve">, “NR; </w:t>
      </w:r>
      <w:r w:rsidRPr="008B2A22">
        <w:t>User Equipment (UE) radio transmission and reception; Part 2: Range 2</w:t>
      </w:r>
      <w:r>
        <w:t xml:space="preserve"> </w:t>
      </w:r>
      <w:r w:rsidRPr="008B2A22">
        <w:t>Standalone</w:t>
      </w:r>
      <w:r>
        <w:t>,” V15.5.0, 3GPP RAN #83, March 2019</w:t>
      </w:r>
      <w:bookmarkEnd w:id="2"/>
    </w:p>
    <w:p w14:paraId="1ADD45CC" w14:textId="5B4413F7" w:rsidR="0036017F" w:rsidRDefault="00167928" w:rsidP="00A60163">
      <w:pPr>
        <w:widowControl w:val="0"/>
        <w:numPr>
          <w:ilvl w:val="0"/>
          <w:numId w:val="5"/>
        </w:numPr>
      </w:pPr>
      <w:bookmarkStart w:id="3" w:name="_Ref4665285"/>
      <w:r>
        <w:t>3GPP TR38.810, “NR; Study on test methods,” V16.2.0, 3GPP RAN #83, March 2019</w:t>
      </w:r>
      <w:bookmarkEnd w:id="3"/>
    </w:p>
    <w:p w14:paraId="67FF803D" w14:textId="69BD31E6" w:rsidR="005A7F6B" w:rsidRDefault="00B81CB6" w:rsidP="00A60163">
      <w:pPr>
        <w:widowControl w:val="0"/>
        <w:numPr>
          <w:ilvl w:val="0"/>
          <w:numId w:val="5"/>
        </w:numPr>
      </w:pPr>
      <w:bookmarkStart w:id="4" w:name="_Ref4763043"/>
      <w:r w:rsidRPr="00B81CB6">
        <w:t>R4-1900213</w:t>
      </w:r>
      <w:r>
        <w:t>, “</w:t>
      </w:r>
      <w:r w:rsidRPr="00B81CB6">
        <w:t>Impact of polarization basis mismatch between test equipment and UE on the beam correspondence test procedur</w:t>
      </w:r>
      <w:r>
        <w:t>e,” Apple Inc., 3GPP RAN4 #90, February 2019</w:t>
      </w:r>
      <w:bookmarkEnd w:id="4"/>
    </w:p>
    <w:p w14:paraId="409306B4" w14:textId="2BC4AD49" w:rsidR="003944F5" w:rsidRDefault="003944F5" w:rsidP="00A60163">
      <w:pPr>
        <w:widowControl w:val="0"/>
        <w:numPr>
          <w:ilvl w:val="0"/>
          <w:numId w:val="5"/>
        </w:numPr>
      </w:pPr>
      <w:r w:rsidRPr="003944F5">
        <w:t>R4-1900712, “On EIRPs of different link polarization for spherical coverage and beam correspondence tolerance,” Samsung</w:t>
      </w:r>
    </w:p>
    <w:p w14:paraId="333899D8" w14:textId="4B6A62A0" w:rsidR="003944F5" w:rsidRDefault="003944F5" w:rsidP="00A60163">
      <w:pPr>
        <w:widowControl w:val="0"/>
        <w:numPr>
          <w:ilvl w:val="0"/>
          <w:numId w:val="5"/>
        </w:numPr>
      </w:pPr>
      <w:r w:rsidRPr="003944F5">
        <w:t>R4-1901970, “Polarization mismatch impact on power class requirements,” Intel Corporation</w:t>
      </w:r>
    </w:p>
    <w:p w14:paraId="4B568245" w14:textId="0F664B55" w:rsidR="003944F5" w:rsidRDefault="003944F5" w:rsidP="00A60163">
      <w:pPr>
        <w:widowControl w:val="0"/>
        <w:numPr>
          <w:ilvl w:val="0"/>
          <w:numId w:val="5"/>
        </w:numPr>
      </w:pPr>
      <w:r w:rsidRPr="003944F5">
        <w:t>R4-1901821, “On EIS test metric for FR2,” Huawei</w:t>
      </w:r>
    </w:p>
    <w:p w14:paraId="6264B400" w14:textId="40BC1BDE" w:rsidR="003944F5" w:rsidRDefault="003944F5" w:rsidP="00A60163">
      <w:pPr>
        <w:widowControl w:val="0"/>
        <w:numPr>
          <w:ilvl w:val="0"/>
          <w:numId w:val="5"/>
        </w:numPr>
      </w:pPr>
      <w:r w:rsidRPr="003944F5">
        <w:t>R4-1901822, “Draft CR on EIS test metric for TR 38.810,” Huawei</w:t>
      </w:r>
    </w:p>
    <w:p w14:paraId="0B85E77F" w14:textId="36B609CD" w:rsidR="003944F5" w:rsidRDefault="00672DCD" w:rsidP="00A60163">
      <w:pPr>
        <w:widowControl w:val="0"/>
        <w:numPr>
          <w:ilvl w:val="0"/>
          <w:numId w:val="5"/>
        </w:numPr>
      </w:pPr>
      <w:r>
        <w:t>R4-1900671, “On FR2 EIS</w:t>
      </w:r>
      <w:r w:rsidR="003944F5" w:rsidRPr="003944F5">
        <w:t>”</w:t>
      </w:r>
      <w:r>
        <w:t>,</w:t>
      </w:r>
      <w:r w:rsidR="003944F5" w:rsidRPr="003944F5">
        <w:t xml:space="preserve"> Qualcomm</w:t>
      </w:r>
    </w:p>
    <w:p w14:paraId="7EE27776" w14:textId="5089D509" w:rsidR="00C41833" w:rsidRDefault="00C41833" w:rsidP="00A60163">
      <w:pPr>
        <w:widowControl w:val="0"/>
        <w:numPr>
          <w:ilvl w:val="0"/>
          <w:numId w:val="5"/>
        </w:numPr>
      </w:pPr>
      <w:r w:rsidRPr="00C41833">
        <w:t>R4-1900503, “On Simultaneous Transmission/Reception of multiple polarizations by TE,” Keysight, R&amp;S</w:t>
      </w:r>
    </w:p>
    <w:p w14:paraId="52BEADCF" w14:textId="0B7F62B1" w:rsidR="00512E6B" w:rsidRDefault="00512E6B" w:rsidP="00A60163">
      <w:pPr>
        <w:widowControl w:val="0"/>
        <w:numPr>
          <w:ilvl w:val="0"/>
          <w:numId w:val="5"/>
        </w:numPr>
      </w:pPr>
      <w:bookmarkStart w:id="5" w:name="_Ref9529249"/>
      <w:r w:rsidRPr="00512E6B">
        <w:t>R4-1904192</w:t>
      </w:r>
      <w:r w:rsidR="00EB26FB">
        <w:t>, “</w:t>
      </w:r>
      <w:r w:rsidR="00EB26FB" w:rsidRPr="00EB26FB">
        <w:t>On Polarization Mismatch Impact</w:t>
      </w:r>
      <w:r w:rsidR="00EB26FB">
        <w:t xml:space="preserve">,” </w:t>
      </w:r>
      <w:r w:rsidR="00FB586A" w:rsidRPr="00FB586A">
        <w:t>Keysight Technologies</w:t>
      </w:r>
      <w:r w:rsidR="00FB586A">
        <w:t xml:space="preserve">, </w:t>
      </w:r>
      <w:r w:rsidR="00796E17" w:rsidRPr="00796E17">
        <w:t>3GPP TSG-RAN WG4 Meeting #90bis</w:t>
      </w:r>
      <w:bookmarkEnd w:id="5"/>
    </w:p>
    <w:p w14:paraId="52987DE8" w14:textId="3639DCBE" w:rsidR="00423E37" w:rsidRDefault="00423E37" w:rsidP="00A60163">
      <w:pPr>
        <w:widowControl w:val="0"/>
        <w:numPr>
          <w:ilvl w:val="0"/>
          <w:numId w:val="5"/>
        </w:numPr>
      </w:pPr>
      <w:bookmarkStart w:id="6" w:name="_Ref9499771"/>
      <w:r w:rsidRPr="00423E37">
        <w:t>R5-195415</w:t>
      </w:r>
      <w:r>
        <w:t>, “</w:t>
      </w:r>
      <w:r w:rsidRPr="00423E37">
        <w:t>38.508-1 implementation of FR2 UL demod OTA tests using single pol Rx TE</w:t>
      </w:r>
      <w:r>
        <w:t>,” Qualcomm, 3GPP RAN5 #83, May 2019</w:t>
      </w:r>
      <w:bookmarkEnd w:id="6"/>
    </w:p>
    <w:p w14:paraId="21A1D4A7" w14:textId="4CB62C3E" w:rsidR="005C7C73" w:rsidRDefault="005C7C73" w:rsidP="00A60163">
      <w:pPr>
        <w:widowControl w:val="0"/>
        <w:numPr>
          <w:ilvl w:val="0"/>
          <w:numId w:val="5"/>
        </w:numPr>
      </w:pPr>
      <w:bookmarkStart w:id="7" w:name="_Ref3548486"/>
      <w:r w:rsidRPr="005C7C73">
        <w:lastRenderedPageBreak/>
        <w:t>R4-1713660, “On the environmental conditions for FR2”, Rohde &amp;Schwarz, 3GPP TSG RAN WG4 Meeting #85, December 2017</w:t>
      </w:r>
    </w:p>
    <w:p w14:paraId="5C7251D1" w14:textId="351FD7AD" w:rsidR="005B6E26" w:rsidRDefault="005B6E26" w:rsidP="00A60163">
      <w:pPr>
        <w:widowControl w:val="0"/>
        <w:numPr>
          <w:ilvl w:val="0"/>
          <w:numId w:val="5"/>
        </w:numPr>
      </w:pPr>
      <w:r w:rsidRPr="007A5243">
        <w:t>R4-1814841</w:t>
      </w:r>
      <w:r>
        <w:t>, “</w:t>
      </w:r>
      <w:r w:rsidRPr="007A5243">
        <w:t>On FR2 Temperature Testing</w:t>
      </w:r>
      <w:r>
        <w:t xml:space="preserve">”, </w:t>
      </w:r>
      <w:r w:rsidRPr="007A5243">
        <w:t>Keysight Technologies</w:t>
      </w:r>
      <w:r>
        <w:t xml:space="preserve">, </w:t>
      </w:r>
      <w:r w:rsidRPr="000547AB">
        <w:t>3GPP TSG-RAN WG4 #</w:t>
      </w:r>
      <w:r>
        <w:t>89</w:t>
      </w:r>
      <w:r w:rsidRPr="000547AB">
        <w:t xml:space="preserve"> Meeting</w:t>
      </w:r>
      <w:r>
        <w:t>, November 2018</w:t>
      </w:r>
      <w:bookmarkEnd w:id="7"/>
    </w:p>
    <w:p w14:paraId="64D636EB" w14:textId="65D2A0DE" w:rsidR="004D1ADD" w:rsidRDefault="00780F34" w:rsidP="00A60163">
      <w:pPr>
        <w:widowControl w:val="0"/>
        <w:numPr>
          <w:ilvl w:val="0"/>
          <w:numId w:val="5"/>
        </w:numPr>
      </w:pPr>
      <w:r w:rsidRPr="00780F34">
        <w:t>R4-1904191</w:t>
      </w:r>
      <w:r>
        <w:t xml:space="preserve">, </w:t>
      </w:r>
      <w:r w:rsidR="007A6108">
        <w:t>“</w:t>
      </w:r>
      <w:r w:rsidR="007A6108" w:rsidRPr="007A6108">
        <w:t>On ETC FR2 EIRP and EIS Testing</w:t>
      </w:r>
      <w:r w:rsidR="007A6108">
        <w:t xml:space="preserve">”, Keysight Technologies, </w:t>
      </w:r>
      <w:r w:rsidR="00B76168" w:rsidRPr="00B76168">
        <w:t>3GPP TSG-RAN WG4 Meeting #90bis</w:t>
      </w:r>
    </w:p>
    <w:p w14:paraId="11DEAD46" w14:textId="3BC99494" w:rsidR="00423E37" w:rsidRDefault="002527DE" w:rsidP="00A60163">
      <w:pPr>
        <w:widowControl w:val="0"/>
        <w:numPr>
          <w:ilvl w:val="0"/>
          <w:numId w:val="5"/>
        </w:numPr>
      </w:pPr>
      <w:bookmarkStart w:id="8" w:name="_Ref9500078"/>
      <w:r w:rsidRPr="002527DE">
        <w:t>R5-195196</w:t>
      </w:r>
      <w:r>
        <w:t>, “</w:t>
      </w:r>
      <w:r w:rsidRPr="002527DE">
        <w:t>5G-NR FR2 Transmitter &amp; Receiver Testability Issues – Regional Regulatory Bodies Input Required</w:t>
      </w:r>
      <w:r>
        <w:t>,” 3GPP RAN5 #83, May 2019</w:t>
      </w:r>
      <w:bookmarkEnd w:id="8"/>
    </w:p>
    <w:p w14:paraId="39845A57" w14:textId="56A789E7" w:rsidR="00BD4D2D" w:rsidRDefault="00BD4D2D" w:rsidP="00BD4D2D">
      <w:pPr>
        <w:widowControl w:val="0"/>
        <w:numPr>
          <w:ilvl w:val="0"/>
          <w:numId w:val="5"/>
        </w:numPr>
      </w:pPr>
      <w:bookmarkStart w:id="9" w:name="_Ref9498196"/>
      <w:r w:rsidRPr="00BD4D2D">
        <w:t>RP-190761</w:t>
      </w:r>
      <w:r>
        <w:t>, "</w:t>
      </w:r>
      <w:r w:rsidRPr="00BD4D2D">
        <w:t>NR RF requirement enhancements for frequency range 2 (FR2)</w:t>
      </w:r>
      <w:r>
        <w:t>"</w:t>
      </w:r>
      <w:bookmarkEnd w:id="9"/>
    </w:p>
    <w:p w14:paraId="75D093FF" w14:textId="19E0EC5F" w:rsidR="00764A77" w:rsidRDefault="009E7FFC" w:rsidP="00A60163">
      <w:pPr>
        <w:widowControl w:val="0"/>
        <w:numPr>
          <w:ilvl w:val="0"/>
          <w:numId w:val="5"/>
        </w:numPr>
      </w:pPr>
      <w:bookmarkStart w:id="10" w:name="_Ref7785873"/>
      <w:r w:rsidRPr="00264308">
        <w:t>R</w:t>
      </w:r>
      <w:r>
        <w:t>P</w:t>
      </w:r>
      <w:r w:rsidRPr="00264308">
        <w:t>-19</w:t>
      </w:r>
      <w:r>
        <w:t>1852</w:t>
      </w:r>
      <w:r w:rsidR="00764A77">
        <w:t>, “</w:t>
      </w:r>
      <w:r w:rsidR="00764A77" w:rsidRPr="00764A77">
        <w:t>New SID</w:t>
      </w:r>
      <w:r w:rsidR="008F0B27">
        <w:t>:</w:t>
      </w:r>
      <w:r w:rsidR="00764A77" w:rsidRPr="00764A77">
        <w:t xml:space="preserve"> </w:t>
      </w:r>
      <w:r w:rsidR="008F0B27">
        <w:t>S</w:t>
      </w:r>
      <w:r w:rsidR="00764A77" w:rsidRPr="00764A77">
        <w:t>tudy on enhanced test methods for FR2 UEs</w:t>
      </w:r>
      <w:r w:rsidR="00764A77">
        <w:t>,” Apple Inc.</w:t>
      </w:r>
      <w:bookmarkEnd w:id="10"/>
      <w:r w:rsidR="00194F1B">
        <w:t>, CAICT</w:t>
      </w:r>
    </w:p>
    <w:p w14:paraId="0D334BF5" w14:textId="7201B7D9" w:rsidR="00B17CED" w:rsidRDefault="00B17CED" w:rsidP="00A60163">
      <w:pPr>
        <w:widowControl w:val="0"/>
        <w:numPr>
          <w:ilvl w:val="0"/>
          <w:numId w:val="5"/>
        </w:numPr>
      </w:pPr>
      <w:bookmarkStart w:id="11" w:name="_Ref9613167"/>
      <w:r w:rsidRPr="00B17CED">
        <w:t>R5-193516, “TSG RAN WG5 Action Points after RAN5#82 and RAN5#5 5G-NR Ad hoc”</w:t>
      </w:r>
      <w:bookmarkEnd w:id="11"/>
    </w:p>
    <w:p w14:paraId="1D347AA2" w14:textId="3EA8193E" w:rsidR="00096A77" w:rsidRDefault="00096A77" w:rsidP="00A60163">
      <w:pPr>
        <w:widowControl w:val="0"/>
        <w:numPr>
          <w:ilvl w:val="0"/>
          <w:numId w:val="5"/>
        </w:numPr>
      </w:pPr>
      <w:r>
        <w:t xml:space="preserve">3GPP TS37.544, </w:t>
      </w:r>
      <w:r w:rsidR="00D45CAC">
        <w:t>“</w:t>
      </w:r>
      <w:r w:rsidR="00D45CAC" w:rsidRPr="00D45CAC">
        <w:t xml:space="preserve">UTRA </w:t>
      </w:r>
      <w:r w:rsidR="00D45CAC">
        <w:t xml:space="preserve">and </w:t>
      </w:r>
      <w:r w:rsidR="00D45CAC" w:rsidRPr="00D45CAC">
        <w:t>E-UTRA User Equipment (UE) Over The Air (OTA) performance; Conformance testing</w:t>
      </w:r>
      <w:r w:rsidR="00D45CAC">
        <w:t xml:space="preserve">,” V14.6.0, June 2018 </w:t>
      </w:r>
    </w:p>
    <w:p w14:paraId="51DD323E" w14:textId="0E786958" w:rsidR="00061A4E" w:rsidRDefault="00061A4E" w:rsidP="00061A4E">
      <w:pPr>
        <w:pStyle w:val="EX"/>
        <w:numPr>
          <w:ilvl w:val="0"/>
          <w:numId w:val="5"/>
        </w:numPr>
        <w:spacing w:after="180"/>
      </w:pPr>
      <w:bookmarkStart w:id="12" w:name="_Ref20726701"/>
      <w:r w:rsidRPr="009342E8">
        <w:t>RP-192322</w:t>
      </w:r>
      <w:r>
        <w:t>, “</w:t>
      </w:r>
      <w:r w:rsidRPr="009342E8">
        <w:t>New SID: Study on enhanced test methods for FR2</w:t>
      </w:r>
      <w:r>
        <w:t>,” Apple Inc., CAICT, 3GPP RAN #85, September 2019</w:t>
      </w:r>
      <w:bookmarkEnd w:id="12"/>
    </w:p>
    <w:p w14:paraId="774865BF" w14:textId="65C2D960" w:rsidR="00546E72" w:rsidRPr="00636092" w:rsidRDefault="00546E72" w:rsidP="00636092">
      <w:pPr>
        <w:rPr>
          <w:rFonts w:ascii="Arial" w:eastAsia="SimSun" w:hAnsi="Arial"/>
          <w:sz w:val="36"/>
          <w:szCs w:val="20"/>
        </w:rPr>
      </w:pPr>
    </w:p>
    <w:p w14:paraId="20C21565" w14:textId="77777777" w:rsidR="00423E37" w:rsidRPr="00636092" w:rsidRDefault="00423E37">
      <w:pPr>
        <w:rPr>
          <w:rFonts w:ascii="Arial" w:eastAsia="SimSun" w:hAnsi="Arial"/>
          <w:sz w:val="36"/>
          <w:szCs w:val="20"/>
        </w:rPr>
      </w:pPr>
    </w:p>
    <w:sectPr w:rsidR="00423E37" w:rsidRPr="00636092"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719A2" w14:textId="77777777" w:rsidR="00261B10" w:rsidRDefault="00261B10">
      <w:r>
        <w:separator/>
      </w:r>
    </w:p>
  </w:endnote>
  <w:endnote w:type="continuationSeparator" w:id="0">
    <w:p w14:paraId="204D485A" w14:textId="77777777" w:rsidR="00261B10" w:rsidRDefault="00261B10">
      <w:r>
        <w:continuationSeparator/>
      </w:r>
    </w:p>
  </w:endnote>
  <w:endnote w:type="continuationNotice" w:id="1">
    <w:p w14:paraId="7A587879" w14:textId="77777777" w:rsidR="00261B10" w:rsidRDefault="00261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604020202020204"/>
    <w:charset w:val="00"/>
    <w:family w:val="swiss"/>
    <w:pitch w:val="variable"/>
    <w:sig w:usb0="0001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F3F0E6" w14:textId="77777777" w:rsidR="00261B10" w:rsidRDefault="00261B10">
      <w:r>
        <w:separator/>
      </w:r>
    </w:p>
  </w:footnote>
  <w:footnote w:type="continuationSeparator" w:id="0">
    <w:p w14:paraId="24D8711C" w14:textId="77777777" w:rsidR="00261B10" w:rsidRDefault="00261B10">
      <w:r>
        <w:continuationSeparator/>
      </w:r>
    </w:p>
  </w:footnote>
  <w:footnote w:type="continuationNotice" w:id="1">
    <w:p w14:paraId="7C736727" w14:textId="77777777" w:rsidR="00261B10" w:rsidRDefault="00261B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8"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442D67"/>
    <w:multiLevelType w:val="hybridMultilevel"/>
    <w:tmpl w:val="28E68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0"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2"/>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22"/>
  </w:num>
  <w:num w:numId="8">
    <w:abstractNumId w:val="16"/>
  </w:num>
  <w:num w:numId="9">
    <w:abstractNumId w:val="18"/>
  </w:num>
  <w:num w:numId="10">
    <w:abstractNumId w:val="30"/>
  </w:num>
  <w:num w:numId="11">
    <w:abstractNumId w:val="6"/>
  </w:num>
  <w:num w:numId="12">
    <w:abstractNumId w:val="2"/>
  </w:num>
  <w:num w:numId="13">
    <w:abstractNumId w:val="19"/>
  </w:num>
  <w:num w:numId="14">
    <w:abstractNumId w:val="25"/>
  </w:num>
  <w:num w:numId="15">
    <w:abstractNumId w:val="24"/>
  </w:num>
  <w:num w:numId="16">
    <w:abstractNumId w:val="9"/>
  </w:num>
  <w:num w:numId="17">
    <w:abstractNumId w:val="17"/>
  </w:num>
  <w:num w:numId="18">
    <w:abstractNumId w:val="20"/>
  </w:num>
  <w:num w:numId="19">
    <w:abstractNumId w:val="13"/>
  </w:num>
  <w:num w:numId="20">
    <w:abstractNumId w:val="15"/>
  </w:num>
  <w:num w:numId="21">
    <w:abstractNumId w:val="23"/>
  </w:num>
  <w:num w:numId="22">
    <w:abstractNumId w:val="0"/>
  </w:num>
  <w:num w:numId="23">
    <w:abstractNumId w:val="8"/>
  </w:num>
  <w:num w:numId="24">
    <w:abstractNumId w:val="14"/>
  </w:num>
  <w:num w:numId="25">
    <w:abstractNumId w:val="3"/>
  </w:num>
  <w:num w:numId="26">
    <w:abstractNumId w:val="26"/>
  </w:num>
  <w:num w:numId="27">
    <w:abstractNumId w:val="27"/>
  </w:num>
  <w:num w:numId="28">
    <w:abstractNumId w:val="4"/>
  </w:num>
  <w:num w:numId="29">
    <w:abstractNumId w:val="5"/>
  </w:num>
  <w:num w:numId="30">
    <w:abstractNumId w:val="28"/>
  </w:num>
  <w:num w:numId="31">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947"/>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C78"/>
    <w:rsid w:val="00016DCE"/>
    <w:rsid w:val="00016DDC"/>
    <w:rsid w:val="0001729B"/>
    <w:rsid w:val="00017309"/>
    <w:rsid w:val="000174B1"/>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4F3C"/>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98"/>
    <w:rsid w:val="000361C6"/>
    <w:rsid w:val="0003667C"/>
    <w:rsid w:val="00036A16"/>
    <w:rsid w:val="00036C45"/>
    <w:rsid w:val="00036FA3"/>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9A"/>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6FA"/>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873"/>
    <w:rsid w:val="00055B8E"/>
    <w:rsid w:val="0005602E"/>
    <w:rsid w:val="00056057"/>
    <w:rsid w:val="00056235"/>
    <w:rsid w:val="00056ABA"/>
    <w:rsid w:val="00056DF0"/>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A4E"/>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A77"/>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3A4"/>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82F"/>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3EF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3E84"/>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7AE"/>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67928"/>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8E3"/>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F1B"/>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5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473"/>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86"/>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65"/>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1D1"/>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32"/>
    <w:rsid w:val="00232E9D"/>
    <w:rsid w:val="0023302F"/>
    <w:rsid w:val="0023311D"/>
    <w:rsid w:val="00233760"/>
    <w:rsid w:val="0023399C"/>
    <w:rsid w:val="00233B04"/>
    <w:rsid w:val="00233F26"/>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6FB5"/>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6EE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7DE"/>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B10"/>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6885"/>
    <w:rsid w:val="00267006"/>
    <w:rsid w:val="00267026"/>
    <w:rsid w:val="0026709E"/>
    <w:rsid w:val="0026716C"/>
    <w:rsid w:val="00267959"/>
    <w:rsid w:val="00267D2F"/>
    <w:rsid w:val="00267FCA"/>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C03"/>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B8F"/>
    <w:rsid w:val="00283D5A"/>
    <w:rsid w:val="00283D6B"/>
    <w:rsid w:val="002848AC"/>
    <w:rsid w:val="00284E7F"/>
    <w:rsid w:val="00284F04"/>
    <w:rsid w:val="002851CC"/>
    <w:rsid w:val="00285520"/>
    <w:rsid w:val="002855B4"/>
    <w:rsid w:val="00285894"/>
    <w:rsid w:val="00285E28"/>
    <w:rsid w:val="0028615E"/>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3B8"/>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283"/>
    <w:rsid w:val="002A5488"/>
    <w:rsid w:val="002A5D92"/>
    <w:rsid w:val="002A5FC1"/>
    <w:rsid w:val="002A605F"/>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202"/>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3F5"/>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66D"/>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45A"/>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4F5"/>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47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1DC6"/>
    <w:rsid w:val="003E240A"/>
    <w:rsid w:val="003E2719"/>
    <w:rsid w:val="003E2896"/>
    <w:rsid w:val="003E2B8B"/>
    <w:rsid w:val="003E2BF4"/>
    <w:rsid w:val="003E2E52"/>
    <w:rsid w:val="003E2F36"/>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E37"/>
    <w:rsid w:val="00423FC4"/>
    <w:rsid w:val="00424A6A"/>
    <w:rsid w:val="00424C34"/>
    <w:rsid w:val="00425476"/>
    <w:rsid w:val="00425771"/>
    <w:rsid w:val="00425B4E"/>
    <w:rsid w:val="00425C97"/>
    <w:rsid w:val="00425FFD"/>
    <w:rsid w:val="00426032"/>
    <w:rsid w:val="00426095"/>
    <w:rsid w:val="004262F8"/>
    <w:rsid w:val="00426442"/>
    <w:rsid w:val="0042654A"/>
    <w:rsid w:val="00426A93"/>
    <w:rsid w:val="00426DFA"/>
    <w:rsid w:val="00427300"/>
    <w:rsid w:val="004276E3"/>
    <w:rsid w:val="004279ED"/>
    <w:rsid w:val="00427E67"/>
    <w:rsid w:val="00427F32"/>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A88"/>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3DB"/>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01F"/>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19E5"/>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695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ADD"/>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0D7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2E6B"/>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6A5"/>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02"/>
    <w:rsid w:val="005365F6"/>
    <w:rsid w:val="00536625"/>
    <w:rsid w:val="00536AEE"/>
    <w:rsid w:val="00536BC4"/>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574"/>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6DCC"/>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231"/>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6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E26"/>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7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7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174"/>
    <w:rsid w:val="005F031E"/>
    <w:rsid w:val="005F0324"/>
    <w:rsid w:val="005F0362"/>
    <w:rsid w:val="005F05E3"/>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4F75"/>
    <w:rsid w:val="0061524B"/>
    <w:rsid w:val="0061565F"/>
    <w:rsid w:val="00615850"/>
    <w:rsid w:val="00615BDB"/>
    <w:rsid w:val="00616297"/>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5B99"/>
    <w:rsid w:val="0064617C"/>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A4"/>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AC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DCD"/>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AB9"/>
    <w:rsid w:val="00694D1C"/>
    <w:rsid w:val="00694D7A"/>
    <w:rsid w:val="00695A99"/>
    <w:rsid w:val="00695E95"/>
    <w:rsid w:val="00696244"/>
    <w:rsid w:val="0069668A"/>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F1A"/>
    <w:rsid w:val="006D21FF"/>
    <w:rsid w:val="006D2627"/>
    <w:rsid w:val="006D2B11"/>
    <w:rsid w:val="006D2B29"/>
    <w:rsid w:val="006D31AF"/>
    <w:rsid w:val="006D31DD"/>
    <w:rsid w:val="006D343D"/>
    <w:rsid w:val="006D3D66"/>
    <w:rsid w:val="006D3E35"/>
    <w:rsid w:val="006D3F79"/>
    <w:rsid w:val="006D409F"/>
    <w:rsid w:val="006D47FF"/>
    <w:rsid w:val="006D492A"/>
    <w:rsid w:val="006D493C"/>
    <w:rsid w:val="006D4E49"/>
    <w:rsid w:val="006D4F72"/>
    <w:rsid w:val="006D5606"/>
    <w:rsid w:val="006D59BF"/>
    <w:rsid w:val="006D5AE7"/>
    <w:rsid w:val="006D5BC2"/>
    <w:rsid w:val="006D5EC2"/>
    <w:rsid w:val="006D5FEF"/>
    <w:rsid w:val="006D615D"/>
    <w:rsid w:val="006D63C2"/>
    <w:rsid w:val="006D7598"/>
    <w:rsid w:val="006D7B93"/>
    <w:rsid w:val="006D7D41"/>
    <w:rsid w:val="006D7DAD"/>
    <w:rsid w:val="006E0ADC"/>
    <w:rsid w:val="006E0B16"/>
    <w:rsid w:val="006E0E60"/>
    <w:rsid w:val="006E0ED0"/>
    <w:rsid w:val="006E176F"/>
    <w:rsid w:val="006E1856"/>
    <w:rsid w:val="006E22CC"/>
    <w:rsid w:val="006E2AA6"/>
    <w:rsid w:val="006E3854"/>
    <w:rsid w:val="006E3BA9"/>
    <w:rsid w:val="006E3D3A"/>
    <w:rsid w:val="006E40E5"/>
    <w:rsid w:val="006E459B"/>
    <w:rsid w:val="006E4752"/>
    <w:rsid w:val="006E4917"/>
    <w:rsid w:val="006E4989"/>
    <w:rsid w:val="006E4E8C"/>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4AAB"/>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4E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798"/>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D32"/>
    <w:rsid w:val="00763F7A"/>
    <w:rsid w:val="00764A37"/>
    <w:rsid w:val="00764A77"/>
    <w:rsid w:val="00764C3D"/>
    <w:rsid w:val="00764CDD"/>
    <w:rsid w:val="00764E4E"/>
    <w:rsid w:val="00764EB8"/>
    <w:rsid w:val="00764F42"/>
    <w:rsid w:val="00765098"/>
    <w:rsid w:val="007657DE"/>
    <w:rsid w:val="007657E5"/>
    <w:rsid w:val="0076598E"/>
    <w:rsid w:val="00765E5F"/>
    <w:rsid w:val="00765FDC"/>
    <w:rsid w:val="00766559"/>
    <w:rsid w:val="007667D5"/>
    <w:rsid w:val="0076683C"/>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ABD"/>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0F34"/>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E17"/>
    <w:rsid w:val="00796F91"/>
    <w:rsid w:val="00797DAA"/>
    <w:rsid w:val="00797FCF"/>
    <w:rsid w:val="007A0616"/>
    <w:rsid w:val="007A091C"/>
    <w:rsid w:val="007A09FA"/>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08"/>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98E"/>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2CD8"/>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B02"/>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B8D"/>
    <w:rsid w:val="00842DB7"/>
    <w:rsid w:val="0084370B"/>
    <w:rsid w:val="0084387F"/>
    <w:rsid w:val="00843AFD"/>
    <w:rsid w:val="008444F8"/>
    <w:rsid w:val="0084464F"/>
    <w:rsid w:val="00844750"/>
    <w:rsid w:val="00845409"/>
    <w:rsid w:val="00845A52"/>
    <w:rsid w:val="00845CDA"/>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515B"/>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E57"/>
    <w:rsid w:val="00867F66"/>
    <w:rsid w:val="00870018"/>
    <w:rsid w:val="00870094"/>
    <w:rsid w:val="00870793"/>
    <w:rsid w:val="00870A1C"/>
    <w:rsid w:val="00870DF8"/>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11C"/>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4FFD"/>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1ABE"/>
    <w:rsid w:val="008C1F55"/>
    <w:rsid w:val="008C2426"/>
    <w:rsid w:val="008C2453"/>
    <w:rsid w:val="008C265E"/>
    <w:rsid w:val="008C26B4"/>
    <w:rsid w:val="008C28BA"/>
    <w:rsid w:val="008C3240"/>
    <w:rsid w:val="008C3B28"/>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A68"/>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7C9"/>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04E"/>
    <w:rsid w:val="008F01AB"/>
    <w:rsid w:val="008F0460"/>
    <w:rsid w:val="008F0B27"/>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610"/>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3CAC"/>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071"/>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13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31E"/>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2FE6"/>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E7D6B"/>
    <w:rsid w:val="009E7FFC"/>
    <w:rsid w:val="009F045F"/>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01"/>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0B5"/>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577"/>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1956"/>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EDA"/>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6C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17CED"/>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CBC"/>
    <w:rsid w:val="00B25E1D"/>
    <w:rsid w:val="00B25F9A"/>
    <w:rsid w:val="00B2609F"/>
    <w:rsid w:val="00B2613A"/>
    <w:rsid w:val="00B26998"/>
    <w:rsid w:val="00B269BF"/>
    <w:rsid w:val="00B269CE"/>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0"/>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168"/>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1CB6"/>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39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4D2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3F36"/>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954"/>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981"/>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8AF"/>
    <w:rsid w:val="00C40B7D"/>
    <w:rsid w:val="00C41371"/>
    <w:rsid w:val="00C41833"/>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D9B"/>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10E"/>
    <w:rsid w:val="00C755E8"/>
    <w:rsid w:val="00C7576B"/>
    <w:rsid w:val="00C75970"/>
    <w:rsid w:val="00C75AC4"/>
    <w:rsid w:val="00C75B22"/>
    <w:rsid w:val="00C75C9D"/>
    <w:rsid w:val="00C75CD0"/>
    <w:rsid w:val="00C75EF9"/>
    <w:rsid w:val="00C75FA9"/>
    <w:rsid w:val="00C76816"/>
    <w:rsid w:val="00C76A56"/>
    <w:rsid w:val="00C76A6B"/>
    <w:rsid w:val="00C76C0D"/>
    <w:rsid w:val="00C7731D"/>
    <w:rsid w:val="00C775EF"/>
    <w:rsid w:val="00C77655"/>
    <w:rsid w:val="00C7799E"/>
    <w:rsid w:val="00C77DF7"/>
    <w:rsid w:val="00C77EFB"/>
    <w:rsid w:val="00C80547"/>
    <w:rsid w:val="00C80FD1"/>
    <w:rsid w:val="00C8198E"/>
    <w:rsid w:val="00C81B30"/>
    <w:rsid w:val="00C8203C"/>
    <w:rsid w:val="00C82387"/>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044"/>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D7C0D"/>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62"/>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7DC"/>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42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CAC"/>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2AD"/>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58E"/>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A94"/>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D30"/>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55"/>
    <w:rsid w:val="00D97FD5"/>
    <w:rsid w:val="00DA0FC0"/>
    <w:rsid w:val="00DA1055"/>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1A"/>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B8E"/>
    <w:rsid w:val="00DE7D03"/>
    <w:rsid w:val="00DF02EC"/>
    <w:rsid w:val="00DF079B"/>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481"/>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BCA"/>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D94"/>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BD5"/>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67948"/>
    <w:rsid w:val="00E701D0"/>
    <w:rsid w:val="00E705E5"/>
    <w:rsid w:val="00E70AE7"/>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782"/>
    <w:rsid w:val="00E75BCB"/>
    <w:rsid w:val="00E75D52"/>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0F"/>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73"/>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44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5CF"/>
    <w:rsid w:val="00EB16A8"/>
    <w:rsid w:val="00EB1705"/>
    <w:rsid w:val="00EB185C"/>
    <w:rsid w:val="00EB1AD4"/>
    <w:rsid w:val="00EB2435"/>
    <w:rsid w:val="00EB269A"/>
    <w:rsid w:val="00EB26FB"/>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5BE9"/>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A9"/>
    <w:rsid w:val="00F14FB8"/>
    <w:rsid w:val="00F15860"/>
    <w:rsid w:val="00F1698C"/>
    <w:rsid w:val="00F16BB1"/>
    <w:rsid w:val="00F17076"/>
    <w:rsid w:val="00F17833"/>
    <w:rsid w:val="00F17A8F"/>
    <w:rsid w:val="00F20046"/>
    <w:rsid w:val="00F20160"/>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87A"/>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2E"/>
    <w:rsid w:val="00F958CD"/>
    <w:rsid w:val="00F95D3F"/>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1DF0"/>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86A"/>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758"/>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5C2"/>
    <w:rsid w:val="00FE761D"/>
    <w:rsid w:val="00FE76FA"/>
    <w:rsid w:val="00FE7903"/>
    <w:rsid w:val="00FE798A"/>
    <w:rsid w:val="00FE7C3E"/>
    <w:rsid w:val="00FE7E6E"/>
    <w:rsid w:val="00FE7F00"/>
    <w:rsid w:val="00FF0178"/>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5F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 w:type="paragraph" w:customStyle="1" w:styleId="CH">
    <w:name w:val="CH"/>
    <w:basedOn w:val="Normal"/>
    <w:rsid w:val="001F6165"/>
    <w:pPr>
      <w:tabs>
        <w:tab w:val="left" w:pos="2268"/>
        <w:tab w:val="right" w:pos="7920"/>
        <w:tab w:val="right" w:pos="9639"/>
      </w:tabs>
    </w:pPr>
    <w:rPr>
      <w:rFonts w:ascii="Arial"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788B109-CCDF-C740-87E6-7FDD1F6E938D}">
  <ds:schemaRefs>
    <ds:schemaRef ds:uri="http://schemas.openxmlformats.org/officeDocument/2006/bibliography"/>
  </ds:schemaRefs>
</ds:datastoreItem>
</file>

<file path=customXml/itemProps4.xml><?xml version="1.0" encoding="utf-8"?>
<ds:datastoreItem xmlns:ds="http://schemas.openxmlformats.org/officeDocument/2006/customXml" ds:itemID="{35A7B5E0-2478-A340-8A5D-B986DA967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7</TotalTime>
  <Pages>3</Pages>
  <Words>904</Words>
  <Characters>5158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6050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10</cp:revision>
  <cp:lastPrinted>2017-11-08T23:02:00Z</cp:lastPrinted>
  <dcterms:created xsi:type="dcterms:W3CDTF">2019-09-28T15:41:00Z</dcterms:created>
  <dcterms:modified xsi:type="dcterms:W3CDTF">2019-10-04T23:03:00Z</dcterms:modified>
  <cp:category/>
</cp:coreProperties>
</file>